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6F10" w:rsidRPr="00463F2A" w:rsidRDefault="00463F2A" w:rsidP="003234F6">
      <w:pPr>
        <w:pStyle w:val="Titre"/>
        <w:rPr>
          <w:sz w:val="10"/>
          <w:szCs w:val="10"/>
          <w:lang w:val="fr-FR"/>
        </w:rPr>
      </w:pPr>
      <w:r w:rsidRPr="00463F2A">
        <w:rPr>
          <w:noProof/>
          <w:sz w:val="10"/>
          <w:szCs w:val="1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995A8" wp14:editId="5267BCDA">
                <wp:simplePos x="0" y="0"/>
                <wp:positionH relativeFrom="column">
                  <wp:posOffset>455295</wp:posOffset>
                </wp:positionH>
                <wp:positionV relativeFrom="paragraph">
                  <wp:posOffset>-174738</wp:posOffset>
                </wp:positionV>
                <wp:extent cx="5257800" cy="6985"/>
                <wp:effectExtent l="0" t="0" r="19050" b="31115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E7565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-13.75pt" to="449.8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" strokeweight="1.5pt"/>
            </w:pict>
          </mc:Fallback>
        </mc:AlternateContent>
      </w:r>
    </w:p>
    <w:p w:rsidR="003B12D2" w:rsidRPr="006A7930" w:rsidRDefault="003B12D2" w:rsidP="003C66F3">
      <w:pPr>
        <w:suppressAutoHyphens/>
        <w:jc w:val="center"/>
        <w:rPr>
          <w:b/>
          <w:lang w:val="fr-FR"/>
        </w:rPr>
      </w:pPr>
      <w:r w:rsidRPr="006A7930">
        <w:rPr>
          <w:b/>
          <w:lang w:val="fr-FR"/>
        </w:rPr>
        <w:t>PROJET D</w:t>
      </w:r>
      <w:r w:rsidR="008B1923">
        <w:rPr>
          <w:b/>
          <w:lang w:val="fr-FR"/>
        </w:rPr>
        <w:t xml:space="preserve">E </w:t>
      </w:r>
      <w:r w:rsidR="003C66F3" w:rsidRPr="00007291">
        <w:rPr>
          <w:b/>
          <w:bCs/>
          <w:lang w:val="fr-FR"/>
        </w:rPr>
        <w:t xml:space="preserve">REALISATION </w:t>
      </w:r>
      <w:r w:rsidR="006039B1">
        <w:rPr>
          <w:b/>
          <w:bCs/>
          <w:lang w:val="fr-FR"/>
        </w:rPr>
        <w:t xml:space="preserve">DES </w:t>
      </w:r>
      <w:r w:rsidR="003C66F3" w:rsidRPr="00007291">
        <w:rPr>
          <w:b/>
          <w:bCs/>
          <w:lang w:val="fr-FR"/>
        </w:rPr>
        <w:t xml:space="preserve">CENTRALES SOLAIRES PHOTOVOLTAIQUES </w:t>
      </w:r>
      <w:r w:rsidR="006039B1">
        <w:rPr>
          <w:b/>
          <w:bCs/>
          <w:lang w:val="fr-FR"/>
        </w:rPr>
        <w:t xml:space="preserve">SUR </w:t>
      </w:r>
      <w:r w:rsidR="00621D55">
        <w:rPr>
          <w:b/>
          <w:bCs/>
          <w:lang w:val="fr-FR"/>
        </w:rPr>
        <w:t>LE TRO</w:t>
      </w:r>
      <w:r w:rsidR="00892AC4">
        <w:rPr>
          <w:b/>
          <w:bCs/>
          <w:lang w:val="fr-FR"/>
        </w:rPr>
        <w:t>N</w:t>
      </w:r>
      <w:r w:rsidR="00621D55">
        <w:rPr>
          <w:b/>
          <w:bCs/>
          <w:lang w:val="fr-FR"/>
        </w:rPr>
        <w:t xml:space="preserve">CON NORD DE </w:t>
      </w:r>
      <w:r w:rsidR="006039B1">
        <w:rPr>
          <w:b/>
          <w:bCs/>
          <w:lang w:val="fr-FR"/>
        </w:rPr>
        <w:t>LA BOUCLE 225 kV A</w:t>
      </w:r>
      <w:r w:rsidR="003C66F3" w:rsidRPr="00007291">
        <w:rPr>
          <w:b/>
          <w:bCs/>
          <w:lang w:val="fr-FR"/>
        </w:rPr>
        <w:t xml:space="preserve"> KAMBILA ET </w:t>
      </w:r>
      <w:r w:rsidR="006039B1">
        <w:rPr>
          <w:b/>
          <w:bCs/>
          <w:lang w:val="fr-FR"/>
        </w:rPr>
        <w:t xml:space="preserve">A </w:t>
      </w:r>
      <w:r w:rsidR="003C66F3" w:rsidRPr="00007291">
        <w:rPr>
          <w:b/>
          <w:bCs/>
          <w:lang w:val="fr-FR"/>
        </w:rPr>
        <w:t>SAFO</w:t>
      </w:r>
      <w:r w:rsidR="006039B1">
        <w:rPr>
          <w:b/>
          <w:bCs/>
          <w:lang w:val="fr-FR"/>
        </w:rPr>
        <w:t xml:space="preserve"> </w:t>
      </w:r>
    </w:p>
    <w:p w:rsidR="003B6F10" w:rsidRPr="006A7930" w:rsidRDefault="003B6F10" w:rsidP="003234F6">
      <w:pPr>
        <w:suppressAutoHyphens/>
        <w:rPr>
          <w:b/>
          <w:highlight w:val="yellow"/>
          <w:lang w:val="fr-FR"/>
        </w:rPr>
      </w:pPr>
    </w:p>
    <w:p w:rsidR="003B12D2" w:rsidRPr="0096149A" w:rsidRDefault="003B12D2" w:rsidP="000A461A">
      <w:pPr>
        <w:suppressAutoHyphens/>
        <w:jc w:val="center"/>
        <w:rPr>
          <w:b/>
          <w:bCs/>
          <w:color w:val="0432FF"/>
          <w:sz w:val="28"/>
          <w:szCs w:val="28"/>
          <w:highlight w:val="yellow"/>
          <w:lang w:val="fr-FR"/>
        </w:rPr>
      </w:pPr>
      <w:r w:rsidRPr="0096149A">
        <w:rPr>
          <w:b/>
          <w:bCs/>
          <w:color w:val="0432FF"/>
          <w:sz w:val="28"/>
          <w:szCs w:val="28"/>
          <w:lang w:val="fr-FR"/>
        </w:rPr>
        <w:t>AMI</w:t>
      </w:r>
      <w:r w:rsidR="00007291" w:rsidRPr="0096149A">
        <w:rPr>
          <w:b/>
          <w:bCs/>
          <w:color w:val="0432FF"/>
          <w:sz w:val="28"/>
          <w:szCs w:val="28"/>
          <w:lang w:val="fr-FR"/>
        </w:rPr>
        <w:t xml:space="preserve"> N° </w:t>
      </w:r>
      <w:r w:rsidR="0096149A" w:rsidRPr="0096149A">
        <w:rPr>
          <w:b/>
          <w:bCs/>
          <w:color w:val="0432FF"/>
          <w:sz w:val="28"/>
          <w:szCs w:val="28"/>
          <w:lang w:val="fr-FR"/>
        </w:rPr>
        <w:t xml:space="preserve">20 – 003 / DEPS / EDM SA  </w:t>
      </w:r>
      <w:r w:rsidR="00753A62" w:rsidRPr="0096149A">
        <w:rPr>
          <w:b/>
          <w:bCs/>
          <w:color w:val="0432FF"/>
          <w:sz w:val="28"/>
          <w:szCs w:val="28"/>
          <w:lang w:val="fr-FR"/>
        </w:rPr>
        <w:t>du</w:t>
      </w:r>
      <w:r w:rsidR="003C66F3" w:rsidRPr="0096149A">
        <w:rPr>
          <w:b/>
          <w:bCs/>
          <w:color w:val="0432FF"/>
          <w:sz w:val="28"/>
          <w:szCs w:val="28"/>
          <w:lang w:val="fr-FR"/>
        </w:rPr>
        <w:t> :</w:t>
      </w:r>
      <w:r w:rsidR="000A461A">
        <w:rPr>
          <w:b/>
          <w:bCs/>
          <w:color w:val="0432FF"/>
          <w:sz w:val="28"/>
          <w:szCs w:val="28"/>
          <w:lang w:val="fr-FR"/>
        </w:rPr>
        <w:t>                         </w:t>
      </w:r>
    </w:p>
    <w:p w:rsidR="003B12D2" w:rsidRPr="006A7930" w:rsidRDefault="003B12D2" w:rsidP="003B12D2">
      <w:pPr>
        <w:rPr>
          <w:b/>
          <w:bCs/>
          <w:highlight w:val="yellow"/>
          <w:lang w:val="fr-FR"/>
        </w:rPr>
      </w:pPr>
    </w:p>
    <w:p w:rsidR="003B12D2" w:rsidRPr="006A7930" w:rsidRDefault="003B12D2" w:rsidP="003B12D2">
      <w:pPr>
        <w:shd w:val="clear" w:color="auto" w:fill="F2F2F2"/>
        <w:jc w:val="center"/>
        <w:rPr>
          <w:b/>
          <w:bCs/>
          <w:sz w:val="28"/>
          <w:szCs w:val="28"/>
          <w:lang w:val="fr-FR"/>
        </w:rPr>
      </w:pPr>
      <w:r w:rsidRPr="006A7930">
        <w:rPr>
          <w:b/>
          <w:bCs/>
          <w:sz w:val="28"/>
          <w:szCs w:val="28"/>
          <w:lang w:val="fr-FR"/>
        </w:rPr>
        <w:t>AVIS A MANIFESTATION</w:t>
      </w:r>
      <w:r w:rsidR="00892AC4">
        <w:rPr>
          <w:b/>
          <w:bCs/>
          <w:sz w:val="28"/>
          <w:szCs w:val="28"/>
          <w:lang w:val="fr-FR"/>
        </w:rPr>
        <w:t>S</w:t>
      </w:r>
      <w:r w:rsidRPr="006A7930">
        <w:rPr>
          <w:b/>
          <w:bCs/>
          <w:sz w:val="28"/>
          <w:szCs w:val="28"/>
          <w:lang w:val="fr-FR"/>
        </w:rPr>
        <w:t xml:space="preserve"> D’INTERET</w:t>
      </w:r>
    </w:p>
    <w:p w:rsidR="003B6F10" w:rsidRPr="006A7930" w:rsidRDefault="003B6F10" w:rsidP="003B12D2">
      <w:pPr>
        <w:suppressAutoHyphens/>
        <w:rPr>
          <w:b/>
          <w:lang w:val="fr-FR"/>
        </w:rPr>
      </w:pPr>
    </w:p>
    <w:p w:rsidR="003B12D2" w:rsidRPr="00007291" w:rsidRDefault="003B12D2" w:rsidP="003B12D2">
      <w:pPr>
        <w:jc w:val="center"/>
        <w:rPr>
          <w:b/>
          <w:bCs/>
          <w:lang w:val="fr-FR"/>
        </w:rPr>
      </w:pPr>
      <w:r w:rsidRPr="00007291">
        <w:rPr>
          <w:b/>
          <w:bCs/>
          <w:lang w:val="fr-FR"/>
        </w:rPr>
        <w:t xml:space="preserve">SERVICE DE CONSULTANT POUR LA </w:t>
      </w:r>
      <w:r w:rsidR="0004092D" w:rsidRPr="00007291">
        <w:rPr>
          <w:b/>
          <w:bCs/>
          <w:lang w:val="fr-FR"/>
        </w:rPr>
        <w:t>REALISATION DES E</w:t>
      </w:r>
      <w:r w:rsidR="00033016" w:rsidRPr="00007291">
        <w:rPr>
          <w:b/>
          <w:bCs/>
          <w:lang w:val="fr-FR"/>
        </w:rPr>
        <w:t xml:space="preserve">TUDES DE FAISABILITES TECHNIQUE, ECONOMIQUE, </w:t>
      </w:r>
      <w:r w:rsidR="0004092D" w:rsidRPr="00007291">
        <w:rPr>
          <w:b/>
          <w:bCs/>
          <w:lang w:val="fr-FR"/>
        </w:rPr>
        <w:t>FINANCIERE</w:t>
      </w:r>
      <w:r w:rsidR="00033016" w:rsidRPr="00007291">
        <w:rPr>
          <w:b/>
          <w:bCs/>
          <w:lang w:val="fr-FR"/>
        </w:rPr>
        <w:t>, ENVIRONNEMENTALE ET SOCIALE</w:t>
      </w:r>
      <w:r w:rsidR="0004092D" w:rsidRPr="00007291">
        <w:rPr>
          <w:b/>
          <w:bCs/>
          <w:lang w:val="fr-FR"/>
        </w:rPr>
        <w:t xml:space="preserve"> DES CENTRALES SOLAIRE</w:t>
      </w:r>
      <w:r w:rsidR="00033016" w:rsidRPr="00007291">
        <w:rPr>
          <w:b/>
          <w:bCs/>
          <w:lang w:val="fr-FR"/>
        </w:rPr>
        <w:t>S PHOTOVOLTAIQUES</w:t>
      </w:r>
      <w:r w:rsidR="003C66F3">
        <w:rPr>
          <w:b/>
          <w:bCs/>
          <w:lang w:val="fr-FR"/>
        </w:rPr>
        <w:t xml:space="preserve"> DE</w:t>
      </w:r>
      <w:r w:rsidR="00033016" w:rsidRPr="00007291">
        <w:rPr>
          <w:b/>
          <w:bCs/>
          <w:lang w:val="fr-FR"/>
        </w:rPr>
        <w:t xml:space="preserve"> KAMBILA ET SAFO</w:t>
      </w:r>
      <w:r w:rsidR="0004092D" w:rsidRPr="00007291">
        <w:rPr>
          <w:b/>
          <w:bCs/>
          <w:lang w:val="fr-FR"/>
        </w:rPr>
        <w:t xml:space="preserve"> </w:t>
      </w:r>
    </w:p>
    <w:p w:rsidR="003B6F10" w:rsidRPr="006A7930" w:rsidRDefault="003B6F10" w:rsidP="00D30EC9">
      <w:pPr>
        <w:jc w:val="both"/>
        <w:rPr>
          <w:b/>
          <w:bCs/>
          <w:highlight w:val="yellow"/>
          <w:lang w:val="fr-FR"/>
        </w:rPr>
      </w:pPr>
    </w:p>
    <w:p w:rsidR="00436713" w:rsidRDefault="00D30EC9" w:rsidP="006038BB">
      <w:pPr>
        <w:jc w:val="both"/>
        <w:rPr>
          <w:lang w:val="fr-FR"/>
        </w:rPr>
      </w:pPr>
      <w:r w:rsidRPr="006A7930">
        <w:rPr>
          <w:lang w:val="fr-FR"/>
        </w:rPr>
        <w:t xml:space="preserve">Le Gouvernement de la République du Mali a obtenu un financement </w:t>
      </w:r>
      <w:r w:rsidR="00737B10">
        <w:rPr>
          <w:lang w:val="fr-FR"/>
        </w:rPr>
        <w:t xml:space="preserve">de </w:t>
      </w:r>
      <w:r w:rsidR="00EF649F" w:rsidRPr="006A7930">
        <w:rPr>
          <w:lang w:val="fr-FR"/>
        </w:rPr>
        <w:t>l’Agence Française de Développement</w:t>
      </w:r>
      <w:r w:rsidRPr="006A7930">
        <w:rPr>
          <w:lang w:val="fr-FR"/>
        </w:rPr>
        <w:t xml:space="preserve"> (</w:t>
      </w:r>
      <w:r w:rsidR="00EF649F" w:rsidRPr="006A7930">
        <w:rPr>
          <w:lang w:val="fr-FR"/>
        </w:rPr>
        <w:t>AFD</w:t>
      </w:r>
      <w:r w:rsidRPr="006A7930">
        <w:rPr>
          <w:lang w:val="fr-FR"/>
        </w:rPr>
        <w:t>) pour financer le Projet d</w:t>
      </w:r>
      <w:r w:rsidR="00EF649F" w:rsidRPr="006A7930">
        <w:rPr>
          <w:lang w:val="fr-FR"/>
        </w:rPr>
        <w:t xml:space="preserve">e construction du tronçon nord de la boucle 225 kV autour de Bamako. </w:t>
      </w:r>
    </w:p>
    <w:p w:rsidR="00427123" w:rsidRPr="006A7930" w:rsidRDefault="00427123" w:rsidP="006038BB">
      <w:pPr>
        <w:jc w:val="both"/>
        <w:rPr>
          <w:lang w:val="fr-FR"/>
        </w:rPr>
      </w:pPr>
    </w:p>
    <w:p w:rsidR="00D30EC9" w:rsidRPr="006A7930" w:rsidRDefault="00EF649F" w:rsidP="006038BB">
      <w:pPr>
        <w:jc w:val="both"/>
        <w:rPr>
          <w:highlight w:val="yellow"/>
          <w:lang w:val="fr-FR"/>
        </w:rPr>
      </w:pPr>
      <w:r w:rsidRPr="006A7930">
        <w:rPr>
          <w:lang w:val="fr-FR"/>
        </w:rPr>
        <w:t xml:space="preserve">La Société </w:t>
      </w:r>
      <w:r w:rsidR="00892AC4" w:rsidRPr="006A7930">
        <w:rPr>
          <w:lang w:val="fr-FR"/>
        </w:rPr>
        <w:t>Énergie</w:t>
      </w:r>
      <w:r w:rsidRPr="006A7930">
        <w:rPr>
          <w:lang w:val="fr-FR"/>
        </w:rPr>
        <w:t xml:space="preserve"> du Mali SA</w:t>
      </w:r>
      <w:r w:rsidR="00892AC4">
        <w:rPr>
          <w:lang w:val="fr-FR"/>
        </w:rPr>
        <w:t xml:space="preserve"> (EDM SA),</w:t>
      </w:r>
      <w:r w:rsidRPr="006A7930">
        <w:rPr>
          <w:lang w:val="fr-FR"/>
        </w:rPr>
        <w:t xml:space="preserve"> </w:t>
      </w:r>
      <w:r w:rsidR="00E5420B" w:rsidRPr="006A7930">
        <w:rPr>
          <w:lang w:val="fr-FR"/>
        </w:rPr>
        <w:t>bénéficiaire</w:t>
      </w:r>
      <w:r w:rsidRPr="006A7930">
        <w:rPr>
          <w:lang w:val="fr-FR"/>
        </w:rPr>
        <w:t xml:space="preserve"> </w:t>
      </w:r>
      <w:r w:rsidR="00892AC4">
        <w:rPr>
          <w:lang w:val="fr-FR"/>
        </w:rPr>
        <w:t xml:space="preserve">final </w:t>
      </w:r>
      <w:r w:rsidRPr="006A7930">
        <w:rPr>
          <w:lang w:val="fr-FR"/>
        </w:rPr>
        <w:t xml:space="preserve">du </w:t>
      </w:r>
      <w:r w:rsidR="00892AC4">
        <w:rPr>
          <w:lang w:val="fr-FR"/>
        </w:rPr>
        <w:t xml:space="preserve">financement, </w:t>
      </w:r>
      <w:r w:rsidRPr="006A7930">
        <w:rPr>
          <w:lang w:val="fr-FR"/>
        </w:rPr>
        <w:t xml:space="preserve">envisage l’utilisation d’une partie </w:t>
      </w:r>
      <w:r w:rsidR="00E5420B" w:rsidRPr="006A7930">
        <w:rPr>
          <w:lang w:val="fr-FR"/>
        </w:rPr>
        <w:t>des fonds</w:t>
      </w:r>
      <w:r w:rsidRPr="006A7930">
        <w:rPr>
          <w:lang w:val="fr-FR"/>
        </w:rPr>
        <w:t xml:space="preserve"> pour </w:t>
      </w:r>
      <w:r w:rsidR="00FF08CE">
        <w:rPr>
          <w:lang w:val="fr-FR"/>
        </w:rPr>
        <w:t xml:space="preserve">payer le service de consultant </w:t>
      </w:r>
      <w:r w:rsidR="006039B1">
        <w:rPr>
          <w:lang w:val="fr-FR"/>
        </w:rPr>
        <w:t>pour</w:t>
      </w:r>
      <w:r w:rsidR="00FF08CE">
        <w:rPr>
          <w:lang w:val="fr-FR"/>
        </w:rPr>
        <w:t xml:space="preserve"> la </w:t>
      </w:r>
      <w:r w:rsidR="006039B1">
        <w:rPr>
          <w:lang w:val="fr-FR"/>
        </w:rPr>
        <w:t>réalisation</w:t>
      </w:r>
      <w:r w:rsidR="00FF08CE">
        <w:rPr>
          <w:lang w:val="fr-FR"/>
        </w:rPr>
        <w:t xml:space="preserve"> des études de faisabi</w:t>
      </w:r>
      <w:r w:rsidR="00033016">
        <w:rPr>
          <w:lang w:val="fr-FR"/>
        </w:rPr>
        <w:t xml:space="preserve">lités technique économique, </w:t>
      </w:r>
      <w:r w:rsidR="00FF08CE">
        <w:rPr>
          <w:lang w:val="fr-FR"/>
        </w:rPr>
        <w:t>financière</w:t>
      </w:r>
      <w:r w:rsidR="00033016">
        <w:rPr>
          <w:lang w:val="fr-FR"/>
        </w:rPr>
        <w:t>, environnementale et sociale</w:t>
      </w:r>
      <w:r w:rsidR="000173B6">
        <w:rPr>
          <w:lang w:val="fr-FR"/>
        </w:rPr>
        <w:t xml:space="preserve"> </w:t>
      </w:r>
      <w:r w:rsidR="001368B6">
        <w:rPr>
          <w:lang w:val="fr-FR"/>
        </w:rPr>
        <w:t xml:space="preserve">ainsi que l’élaboration des </w:t>
      </w:r>
      <w:r w:rsidR="00892AC4">
        <w:rPr>
          <w:lang w:val="fr-FR"/>
        </w:rPr>
        <w:t xml:space="preserve">dossiers d’appel d’offres </w:t>
      </w:r>
      <w:r w:rsidR="006039B1">
        <w:rPr>
          <w:lang w:val="fr-FR"/>
        </w:rPr>
        <w:t xml:space="preserve">pour la construction </w:t>
      </w:r>
      <w:r w:rsidR="000173B6">
        <w:rPr>
          <w:lang w:val="fr-FR"/>
        </w:rPr>
        <w:t>de deux centrales sol</w:t>
      </w:r>
      <w:r w:rsidR="006038BB">
        <w:rPr>
          <w:lang w:val="fr-FR"/>
        </w:rPr>
        <w:t>aire</w:t>
      </w:r>
      <w:r w:rsidR="00892AC4">
        <w:rPr>
          <w:lang w:val="fr-FR"/>
        </w:rPr>
        <w:t>s</w:t>
      </w:r>
      <w:r w:rsidR="006038BB">
        <w:rPr>
          <w:lang w:val="fr-FR"/>
        </w:rPr>
        <w:t xml:space="preserve"> </w:t>
      </w:r>
      <w:r w:rsidR="006039B1">
        <w:rPr>
          <w:lang w:val="fr-FR"/>
        </w:rPr>
        <w:t>photovoltaïque</w:t>
      </w:r>
      <w:r w:rsidR="00892AC4">
        <w:rPr>
          <w:lang w:val="fr-FR"/>
        </w:rPr>
        <w:t>s</w:t>
      </w:r>
      <w:r w:rsidR="00621D55">
        <w:rPr>
          <w:lang w:val="fr-FR"/>
        </w:rPr>
        <w:t xml:space="preserve"> (PV)</w:t>
      </w:r>
      <w:r w:rsidR="006038BB">
        <w:rPr>
          <w:lang w:val="fr-FR"/>
        </w:rPr>
        <w:t xml:space="preserve"> à Kambila et </w:t>
      </w:r>
      <w:r w:rsidR="006039B1">
        <w:rPr>
          <w:lang w:val="fr-FR"/>
        </w:rPr>
        <w:t xml:space="preserve">à </w:t>
      </w:r>
      <w:r w:rsidR="006038BB">
        <w:rPr>
          <w:lang w:val="fr-FR"/>
        </w:rPr>
        <w:t>Saf</w:t>
      </w:r>
      <w:r w:rsidR="006039B1">
        <w:rPr>
          <w:lang w:val="fr-FR"/>
        </w:rPr>
        <w:t>o</w:t>
      </w:r>
      <w:r w:rsidR="00E5420B" w:rsidRPr="006A7930">
        <w:rPr>
          <w:lang w:val="fr-FR"/>
        </w:rPr>
        <w:t>.</w:t>
      </w:r>
    </w:p>
    <w:p w:rsidR="00852B66" w:rsidRPr="006A7930" w:rsidRDefault="00852B66" w:rsidP="006038BB">
      <w:pPr>
        <w:ind w:right="72"/>
        <w:jc w:val="both"/>
        <w:rPr>
          <w:lang w:val="fr-FR"/>
        </w:rPr>
      </w:pPr>
    </w:p>
    <w:p w:rsidR="00852B66" w:rsidRDefault="00852B66" w:rsidP="006038BB">
      <w:pPr>
        <w:spacing w:after="200"/>
        <w:jc w:val="both"/>
        <w:rPr>
          <w:lang w:val="fr-FR"/>
        </w:rPr>
      </w:pPr>
      <w:r w:rsidRPr="006A7930">
        <w:rPr>
          <w:lang w:val="fr-FR"/>
        </w:rPr>
        <w:t xml:space="preserve">Les travaux de construction du tronçon nord de la boucle 225 kV comprennent </w:t>
      </w:r>
      <w:r w:rsidR="00621D55" w:rsidRPr="006A7930">
        <w:rPr>
          <w:lang w:val="fr-FR"/>
        </w:rPr>
        <w:t>entre autres</w:t>
      </w:r>
      <w:r w:rsidR="00737B10">
        <w:rPr>
          <w:lang w:val="fr-FR"/>
        </w:rPr>
        <w:t>,</w:t>
      </w:r>
      <w:r w:rsidRPr="006A7930">
        <w:rPr>
          <w:lang w:val="fr-FR"/>
        </w:rPr>
        <w:t xml:space="preserve"> l’extension </w:t>
      </w:r>
      <w:r w:rsidR="00F818A6">
        <w:rPr>
          <w:lang w:val="fr-FR"/>
        </w:rPr>
        <w:t xml:space="preserve">de trois postes HTB (Kodialani, Kambila et Dialakorobougou) </w:t>
      </w:r>
      <w:r w:rsidRPr="006A7930">
        <w:rPr>
          <w:lang w:val="fr-FR"/>
        </w:rPr>
        <w:t>et la construction de</w:t>
      </w:r>
      <w:r w:rsidR="00F818A6">
        <w:rPr>
          <w:lang w:val="fr-FR"/>
        </w:rPr>
        <w:t xml:space="preserve"> deux nouveaux</w:t>
      </w:r>
      <w:r w:rsidRPr="006A7930">
        <w:rPr>
          <w:lang w:val="fr-FR"/>
        </w:rPr>
        <w:t xml:space="preserve"> poste</w:t>
      </w:r>
      <w:r w:rsidR="00F818A6">
        <w:rPr>
          <w:lang w:val="fr-FR"/>
        </w:rPr>
        <w:t>s</w:t>
      </w:r>
      <w:r w:rsidRPr="006A7930">
        <w:rPr>
          <w:lang w:val="fr-FR"/>
        </w:rPr>
        <w:t xml:space="preserve"> HTB </w:t>
      </w:r>
      <w:r w:rsidR="003C66F3">
        <w:rPr>
          <w:lang w:val="fr-FR"/>
        </w:rPr>
        <w:t>(Safo</w:t>
      </w:r>
      <w:r w:rsidR="00F818A6">
        <w:rPr>
          <w:lang w:val="fr-FR"/>
        </w:rPr>
        <w:t xml:space="preserve"> et Tienfala) ; il est envisagé la réalisation de deux centrales solaire</w:t>
      </w:r>
      <w:r w:rsidR="00737B10">
        <w:rPr>
          <w:lang w:val="fr-FR"/>
        </w:rPr>
        <w:t>s</w:t>
      </w:r>
      <w:r w:rsidR="00F818A6">
        <w:rPr>
          <w:lang w:val="fr-FR"/>
        </w:rPr>
        <w:t xml:space="preserve"> PV à injection au niveau des postes de Kambila (</w:t>
      </w:r>
      <w:r w:rsidR="00F818A6" w:rsidRPr="00007291">
        <w:rPr>
          <w:lang w:val="fr-FR"/>
        </w:rPr>
        <w:t>40 MWc</w:t>
      </w:r>
      <w:r w:rsidR="003C66F3">
        <w:rPr>
          <w:lang w:val="fr-FR"/>
        </w:rPr>
        <w:t>) et de Safo</w:t>
      </w:r>
      <w:r w:rsidR="00F818A6" w:rsidRPr="00007291">
        <w:rPr>
          <w:lang w:val="fr-FR"/>
        </w:rPr>
        <w:t xml:space="preserve"> (50 MWc)</w:t>
      </w:r>
      <w:r w:rsidR="00F818A6">
        <w:rPr>
          <w:lang w:val="fr-FR"/>
        </w:rPr>
        <w:t xml:space="preserve"> dont les études font l’objet du présent AMI</w:t>
      </w:r>
      <w:r w:rsidRPr="006A7930">
        <w:rPr>
          <w:lang w:val="fr-FR"/>
        </w:rPr>
        <w:t>.</w:t>
      </w:r>
    </w:p>
    <w:p w:rsidR="00CA2ACD" w:rsidRPr="006A7930" w:rsidRDefault="00F06509" w:rsidP="006038BB">
      <w:pPr>
        <w:jc w:val="both"/>
        <w:rPr>
          <w:lang w:val="fr-FR"/>
        </w:rPr>
      </w:pPr>
      <w:r>
        <w:rPr>
          <w:lang w:val="fr-FR"/>
        </w:rPr>
        <w:t>Le consultant</w:t>
      </w:r>
      <w:r w:rsidR="008F1493" w:rsidRPr="006A7930">
        <w:rPr>
          <w:lang w:val="fr-FR"/>
        </w:rPr>
        <w:t xml:space="preserve"> </w:t>
      </w:r>
      <w:r w:rsidR="00847B47" w:rsidRPr="006A7930">
        <w:rPr>
          <w:lang w:val="fr-FR"/>
        </w:rPr>
        <w:t>choisi devra exécuter les prestations</w:t>
      </w:r>
      <w:r w:rsidR="008F1493" w:rsidRPr="006A7930">
        <w:rPr>
          <w:lang w:val="fr-FR"/>
        </w:rPr>
        <w:t xml:space="preserve"> (non exhausti</w:t>
      </w:r>
      <w:r w:rsidR="00737B10">
        <w:rPr>
          <w:lang w:val="fr-FR"/>
        </w:rPr>
        <w:t>ves</w:t>
      </w:r>
      <w:r w:rsidR="008F1493" w:rsidRPr="006A7930">
        <w:rPr>
          <w:lang w:val="fr-FR"/>
        </w:rPr>
        <w:t>) suivant</w:t>
      </w:r>
      <w:r w:rsidR="00A9795C">
        <w:rPr>
          <w:lang w:val="fr-FR"/>
        </w:rPr>
        <w:t>es</w:t>
      </w:r>
      <w:r w:rsidR="00847B47" w:rsidRPr="006A7930">
        <w:rPr>
          <w:lang w:val="fr-FR"/>
        </w:rPr>
        <w:t> :</w:t>
      </w:r>
    </w:p>
    <w:p w:rsidR="00696132" w:rsidRPr="00964BB4" w:rsidRDefault="00696132" w:rsidP="006038BB">
      <w:pPr>
        <w:jc w:val="both"/>
        <w:rPr>
          <w:lang w:val="fr-FR"/>
        </w:rPr>
      </w:pPr>
      <w:bookmarkStart w:id="1" w:name="_Toc9861437"/>
    </w:p>
    <w:bookmarkEnd w:id="1"/>
    <w:p w:rsidR="006038BB" w:rsidRPr="006038BB" w:rsidRDefault="006038BB" w:rsidP="006038BB">
      <w:pPr>
        <w:numPr>
          <w:ilvl w:val="0"/>
          <w:numId w:val="1"/>
        </w:numPr>
        <w:jc w:val="both"/>
        <w:rPr>
          <w:lang w:val="fr-FR"/>
        </w:rPr>
      </w:pPr>
      <w:r w:rsidRPr="006038BB">
        <w:rPr>
          <w:lang w:val="fr-FR"/>
        </w:rPr>
        <w:t>Tâche 1 : étude de faisabilité technique, économique et financière</w:t>
      </w:r>
      <w:r w:rsidR="00C90926">
        <w:rPr>
          <w:lang w:val="fr-FR"/>
        </w:rPr>
        <w:t> </w:t>
      </w:r>
      <w:r w:rsidRPr="006038BB">
        <w:rPr>
          <w:lang w:val="fr-FR"/>
        </w:rPr>
        <w:t>;</w:t>
      </w:r>
    </w:p>
    <w:p w:rsidR="006038BB" w:rsidRPr="006038BB" w:rsidRDefault="006038BB" w:rsidP="006038BB">
      <w:pPr>
        <w:numPr>
          <w:ilvl w:val="0"/>
          <w:numId w:val="1"/>
        </w:numPr>
        <w:jc w:val="both"/>
        <w:rPr>
          <w:lang w:val="fr-FR"/>
        </w:rPr>
      </w:pPr>
      <w:r w:rsidRPr="006038BB">
        <w:rPr>
          <w:lang w:val="fr-FR"/>
        </w:rPr>
        <w:t xml:space="preserve">Tâche 2 : études </w:t>
      </w:r>
      <w:r w:rsidR="00C90926">
        <w:rPr>
          <w:lang w:val="fr-FR"/>
        </w:rPr>
        <w:t xml:space="preserve">d’impact </w:t>
      </w:r>
      <w:r w:rsidRPr="006038BB">
        <w:rPr>
          <w:lang w:val="fr-FR"/>
        </w:rPr>
        <w:t>environnemental et social ;</w:t>
      </w:r>
    </w:p>
    <w:p w:rsidR="006038BB" w:rsidRPr="006038BB" w:rsidRDefault="006038BB" w:rsidP="00B56E69">
      <w:pPr>
        <w:numPr>
          <w:ilvl w:val="0"/>
          <w:numId w:val="1"/>
        </w:numPr>
        <w:jc w:val="both"/>
        <w:rPr>
          <w:lang w:val="fr-FR"/>
        </w:rPr>
      </w:pPr>
      <w:r w:rsidRPr="006038BB">
        <w:rPr>
          <w:lang w:val="fr-FR"/>
        </w:rPr>
        <w:t>Tâche 3 :</w:t>
      </w:r>
      <w:r w:rsidR="00892AC4">
        <w:rPr>
          <w:lang w:val="fr-FR"/>
        </w:rPr>
        <w:t> r</w:t>
      </w:r>
      <w:r w:rsidR="00B56E69" w:rsidRPr="00B56E69">
        <w:rPr>
          <w:lang w:val="fr-FR"/>
        </w:rPr>
        <w:t>édaction du Dossier d’Appel d’Offres</w:t>
      </w:r>
      <w:r w:rsidR="00892AC4">
        <w:rPr>
          <w:lang w:val="fr-FR"/>
        </w:rPr>
        <w:t xml:space="preserve"> (DAO)</w:t>
      </w:r>
      <w:r w:rsidR="00B56E69" w:rsidRPr="00B56E69">
        <w:rPr>
          <w:lang w:val="fr-FR"/>
        </w:rPr>
        <w:t xml:space="preserve"> pour le recrutement d’un concepteur-constructeur (contrat EPC)</w:t>
      </w:r>
      <w:r w:rsidRPr="006038BB">
        <w:rPr>
          <w:lang w:val="fr-FR"/>
        </w:rPr>
        <w:t xml:space="preserve">. </w:t>
      </w:r>
    </w:p>
    <w:p w:rsidR="006038BB" w:rsidRPr="006038BB" w:rsidRDefault="006038BB" w:rsidP="00B56E69">
      <w:pPr>
        <w:numPr>
          <w:ilvl w:val="0"/>
          <w:numId w:val="1"/>
        </w:numPr>
        <w:jc w:val="both"/>
        <w:rPr>
          <w:lang w:val="fr-FR"/>
        </w:rPr>
      </w:pPr>
      <w:r w:rsidRPr="006038BB">
        <w:rPr>
          <w:lang w:val="fr-FR"/>
        </w:rPr>
        <w:t>Tâche 4 </w:t>
      </w:r>
      <w:r w:rsidR="00B56E69" w:rsidRPr="00B56E69">
        <w:rPr>
          <w:lang w:val="fr-FR"/>
        </w:rPr>
        <w:t>(optionnelle)</w:t>
      </w:r>
      <w:r w:rsidR="00715A99">
        <w:rPr>
          <w:lang w:val="fr-FR"/>
        </w:rPr>
        <w:t> </w:t>
      </w:r>
      <w:r w:rsidR="00B56E69" w:rsidRPr="00B56E69">
        <w:rPr>
          <w:lang w:val="fr-FR"/>
        </w:rPr>
        <w:t>:</w:t>
      </w:r>
      <w:r w:rsidR="00715A99">
        <w:rPr>
          <w:lang w:val="fr-FR"/>
        </w:rPr>
        <w:t> </w:t>
      </w:r>
      <w:r w:rsidR="00892AC4">
        <w:rPr>
          <w:lang w:val="fr-FR"/>
        </w:rPr>
        <w:t>a</w:t>
      </w:r>
      <w:r w:rsidR="00B56E69" w:rsidRPr="00B56E69">
        <w:rPr>
          <w:lang w:val="fr-FR"/>
        </w:rPr>
        <w:t xml:space="preserve">ssistance au </w:t>
      </w:r>
      <w:r w:rsidR="00892AC4">
        <w:rPr>
          <w:lang w:val="fr-FR"/>
        </w:rPr>
        <w:t>Maître d’Ouvrage</w:t>
      </w:r>
      <w:r w:rsidR="00B56E69" w:rsidRPr="00B56E69">
        <w:rPr>
          <w:lang w:val="fr-FR"/>
        </w:rPr>
        <w:t xml:space="preserve"> pendant la phase d’appel d’offres </w:t>
      </w:r>
      <w:r w:rsidR="00715A99">
        <w:rPr>
          <w:lang w:val="fr-FR"/>
        </w:rPr>
        <w:t xml:space="preserve">et </w:t>
      </w:r>
      <w:r w:rsidR="00B56E69" w:rsidRPr="00B56E69">
        <w:rPr>
          <w:lang w:val="fr-FR"/>
        </w:rPr>
        <w:t>jusqu’à la signature des contrats de travaux</w:t>
      </w:r>
      <w:r w:rsidR="00715A99">
        <w:rPr>
          <w:lang w:val="fr-FR"/>
        </w:rPr>
        <w:t>.</w:t>
      </w:r>
    </w:p>
    <w:p w:rsidR="00D30EC9" w:rsidRPr="006A7930" w:rsidRDefault="00D30EC9" w:rsidP="006038BB">
      <w:pPr>
        <w:ind w:left="720"/>
        <w:jc w:val="both"/>
        <w:rPr>
          <w:highlight w:val="yellow"/>
          <w:lang w:val="fr-FR"/>
        </w:rPr>
      </w:pPr>
    </w:p>
    <w:p w:rsidR="00532652" w:rsidRPr="00964BB4" w:rsidRDefault="00532652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t xml:space="preserve">Les services de consultant (« Services »), devront s’étaler sur </w:t>
      </w:r>
      <w:r w:rsidR="00A652EC" w:rsidRPr="00964BB4">
        <w:rPr>
          <w:lang w:val="fr-FR"/>
        </w:rPr>
        <w:t>huit</w:t>
      </w:r>
      <w:r w:rsidRPr="00964BB4">
        <w:rPr>
          <w:lang w:val="fr-FR"/>
        </w:rPr>
        <w:t xml:space="preserve"> (</w:t>
      </w:r>
      <w:r w:rsidR="00A652EC" w:rsidRPr="00964BB4">
        <w:rPr>
          <w:lang w:val="fr-FR"/>
        </w:rPr>
        <w:t>8</w:t>
      </w:r>
      <w:r w:rsidRPr="00964BB4">
        <w:rPr>
          <w:lang w:val="fr-FR"/>
        </w:rPr>
        <w:t>) mois</w:t>
      </w:r>
      <w:r w:rsidR="00737B10">
        <w:rPr>
          <w:lang w:val="fr-FR"/>
        </w:rPr>
        <w:t>,</w:t>
      </w:r>
      <w:r w:rsidRPr="00964BB4">
        <w:rPr>
          <w:lang w:val="fr-FR"/>
        </w:rPr>
        <w:t xml:space="preserve"> y compris la validation des rapports de l'étude</w:t>
      </w:r>
      <w:r w:rsidR="00A652EC" w:rsidRPr="00964BB4">
        <w:rPr>
          <w:lang w:val="fr-FR"/>
        </w:rPr>
        <w:t xml:space="preserve"> et du Dossier d’Appel d’O</w:t>
      </w:r>
      <w:r w:rsidRPr="00964BB4">
        <w:rPr>
          <w:lang w:val="fr-FR"/>
        </w:rPr>
        <w:t>ffres.</w:t>
      </w:r>
    </w:p>
    <w:p w:rsidR="00715A99" w:rsidRPr="00964BB4" w:rsidRDefault="00715A99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t>Cet Appel à Manifestations d'Intérêt s'adresse aux</w:t>
      </w:r>
      <w:r w:rsidRPr="00715A99">
        <w:rPr>
          <w:lang w:val="fr-FR"/>
        </w:rPr>
        <w:t> :</w:t>
      </w:r>
    </w:p>
    <w:tbl>
      <w:tblPr>
        <w:tblStyle w:val="Grilledutablea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686"/>
      </w:tblGrid>
      <w:tr w:rsidR="00715A99" w:rsidRPr="00D523A3" w:rsidTr="00E3418F">
        <w:tc>
          <w:tcPr>
            <w:tcW w:w="3260" w:type="dxa"/>
          </w:tcPr>
          <w:p w:rsidR="00715A99" w:rsidRPr="00D523A3" w:rsidRDefault="00715A99" w:rsidP="00964BB4">
            <w:pPr>
              <w:spacing w:line="240" w:lineRule="atLeast"/>
              <w:ind w:left="360"/>
              <w:rPr>
                <w:noProof/>
              </w:rPr>
            </w:pPr>
            <w:r>
              <w:rPr>
                <w:noProof/>
              </w:rPr>
              <w:t xml:space="preserve">X   </w:t>
            </w:r>
            <w:r w:rsidRPr="00D523A3">
              <w:rPr>
                <w:noProof/>
              </w:rPr>
              <w:t>Bureaux d'études</w:t>
            </w:r>
          </w:p>
        </w:tc>
        <w:tc>
          <w:tcPr>
            <w:tcW w:w="3686" w:type="dxa"/>
          </w:tcPr>
          <w:p w:rsidR="00715A99" w:rsidRPr="00D523A3" w:rsidRDefault="00715A99" w:rsidP="00715A99">
            <w:pPr>
              <w:pStyle w:val="Paragraphedeliste"/>
              <w:numPr>
                <w:ilvl w:val="0"/>
                <w:numId w:val="16"/>
              </w:numPr>
              <w:spacing w:line="240" w:lineRule="atLeast"/>
              <w:ind w:left="714" w:hanging="357"/>
              <w:contextualSpacing w:val="0"/>
              <w:rPr>
                <w:noProof/>
              </w:rPr>
            </w:pPr>
            <w:r w:rsidRPr="00D523A3">
              <w:rPr>
                <w:noProof/>
              </w:rPr>
              <w:t>Consultants individuels</w:t>
            </w:r>
          </w:p>
        </w:tc>
      </w:tr>
      <w:tr w:rsidR="00715A99" w:rsidRPr="00D523A3" w:rsidTr="00E3418F">
        <w:tc>
          <w:tcPr>
            <w:tcW w:w="3260" w:type="dxa"/>
          </w:tcPr>
          <w:p w:rsidR="00715A99" w:rsidRPr="00D523A3" w:rsidRDefault="00715A99" w:rsidP="00E3418F">
            <w:pPr>
              <w:pStyle w:val="Paragraphedeliste"/>
              <w:ind w:left="714"/>
              <w:contextualSpacing w:val="0"/>
              <w:rPr>
                <w:noProof/>
              </w:rPr>
            </w:pPr>
          </w:p>
        </w:tc>
        <w:tc>
          <w:tcPr>
            <w:tcW w:w="3686" w:type="dxa"/>
          </w:tcPr>
          <w:p w:rsidR="00715A99" w:rsidRPr="00D523A3" w:rsidRDefault="00715A99" w:rsidP="00E3418F">
            <w:pPr>
              <w:pStyle w:val="Paragraphedeliste"/>
              <w:ind w:left="714"/>
              <w:contextualSpacing w:val="0"/>
              <w:rPr>
                <w:noProof/>
              </w:rPr>
            </w:pPr>
          </w:p>
        </w:tc>
      </w:tr>
      <w:tr w:rsidR="00715A99" w:rsidRPr="00737B10" w:rsidTr="00E3418F">
        <w:tc>
          <w:tcPr>
            <w:tcW w:w="3260" w:type="dxa"/>
          </w:tcPr>
          <w:p w:rsidR="00715A99" w:rsidRPr="00D523A3" w:rsidRDefault="00715A99" w:rsidP="00715A99">
            <w:pPr>
              <w:pStyle w:val="Paragraphedeliste"/>
              <w:numPr>
                <w:ilvl w:val="0"/>
                <w:numId w:val="16"/>
              </w:numPr>
              <w:spacing w:line="240" w:lineRule="atLeast"/>
              <w:rPr>
                <w:noProof/>
              </w:rPr>
            </w:pPr>
            <w:r w:rsidRPr="00D523A3">
              <w:rPr>
                <w:noProof/>
              </w:rPr>
              <w:t>ONG</w:t>
            </w:r>
          </w:p>
        </w:tc>
        <w:tc>
          <w:tcPr>
            <w:tcW w:w="3686" w:type="dxa"/>
          </w:tcPr>
          <w:p w:rsidR="00715A99" w:rsidRPr="00964BB4" w:rsidRDefault="00715A99" w:rsidP="00715A99">
            <w:pPr>
              <w:pStyle w:val="Paragraphedeliste"/>
              <w:numPr>
                <w:ilvl w:val="0"/>
                <w:numId w:val="16"/>
              </w:numPr>
              <w:spacing w:line="240" w:lineRule="atLeast"/>
              <w:ind w:left="714" w:hanging="357"/>
              <w:contextualSpacing w:val="0"/>
              <w:rPr>
                <w:noProof/>
                <w:lang w:val="fr-FR"/>
              </w:rPr>
            </w:pPr>
            <w:r w:rsidRPr="00964BB4">
              <w:rPr>
                <w:noProof/>
                <w:lang w:val="fr-FR"/>
              </w:rPr>
              <w:t>ONG et bureau(x) d'études en Groupement</w:t>
            </w:r>
          </w:p>
        </w:tc>
      </w:tr>
    </w:tbl>
    <w:p w:rsidR="00463F2A" w:rsidRDefault="00463F2A" w:rsidP="00964BB4">
      <w:pPr>
        <w:spacing w:after="200"/>
        <w:jc w:val="both"/>
        <w:rPr>
          <w:lang w:val="fr-FR"/>
        </w:rPr>
      </w:pPr>
    </w:p>
    <w:p w:rsidR="00715A99" w:rsidRPr="00964BB4" w:rsidRDefault="00715A99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t xml:space="preserve">Les critères d’éligibilité à un financement de l’AFD sont spécifiés à l’Article 1.3 des "Directives pour la Passation des Marchés financés par l’AFD dans les États étrangers", disponibles en ligne sur le site internet de l’AFD : </w:t>
      </w:r>
      <w:hyperlink r:id="rId8" w:history="1">
        <w:r w:rsidRPr="00964BB4">
          <w:rPr>
            <w:lang w:val="fr-FR"/>
          </w:rPr>
          <w:t>http://www.afd.fr</w:t>
        </w:r>
      </w:hyperlink>
      <w:r w:rsidRPr="00964BB4">
        <w:rPr>
          <w:lang w:val="fr-FR"/>
        </w:rPr>
        <w:t>.</w:t>
      </w:r>
    </w:p>
    <w:p w:rsidR="00715A99" w:rsidRPr="00964BB4" w:rsidRDefault="00715A99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lastRenderedPageBreak/>
        <w:t>Les Candidats ne peuvent soumettre qu'une seule candidature en leur nom propre ou en Groupement. Si un Candidat (y compris le membre d'un Groupement) soumet ou participe à plusieurs candidatures, celles</w:t>
      </w:r>
      <w:r w:rsidRPr="00964BB4">
        <w:rPr>
          <w:lang w:val="fr-FR"/>
        </w:rPr>
        <w:noBreakHyphen/>
        <w:t>ci seront éliminées. En revanche, un même Sous-traitant peut participer à plusieurs candidatures.</w:t>
      </w:r>
    </w:p>
    <w:p w:rsidR="00715A99" w:rsidRPr="00964BB4" w:rsidRDefault="00715A99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t>Si le Candidat est constitué en Groupement, la Manifestation d’Intérêt doit inclure :</w:t>
      </w:r>
    </w:p>
    <w:p w:rsidR="00715A99" w:rsidRPr="00427123" w:rsidRDefault="00715A99" w:rsidP="00964BB4">
      <w:pPr>
        <w:pStyle w:val="Paragraphedeliste"/>
        <w:numPr>
          <w:ilvl w:val="0"/>
          <w:numId w:val="17"/>
        </w:numPr>
        <w:spacing w:before="142" w:line="240" w:lineRule="atLeast"/>
        <w:ind w:left="567" w:hanging="567"/>
        <w:contextualSpacing w:val="0"/>
        <w:jc w:val="both"/>
        <w:rPr>
          <w:noProof/>
          <w:lang w:val="fr-FR"/>
        </w:rPr>
      </w:pPr>
      <w:r w:rsidRPr="00427123">
        <w:rPr>
          <w:noProof/>
          <w:lang w:val="fr-FR"/>
        </w:rPr>
        <w:t>une copie de l’accord de Groupement conclu par l’ensemble de ses membres,</w:t>
      </w:r>
    </w:p>
    <w:p w:rsidR="00715A99" w:rsidRPr="00964BB4" w:rsidRDefault="00715A99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t>ou</w:t>
      </w:r>
    </w:p>
    <w:p w:rsidR="00715A99" w:rsidRPr="00427123" w:rsidRDefault="00715A99" w:rsidP="00964BB4">
      <w:pPr>
        <w:pStyle w:val="Paragraphedeliste"/>
        <w:numPr>
          <w:ilvl w:val="0"/>
          <w:numId w:val="17"/>
        </w:numPr>
        <w:spacing w:before="142" w:line="240" w:lineRule="atLeast"/>
        <w:ind w:left="567" w:hanging="567"/>
        <w:contextualSpacing w:val="0"/>
        <w:jc w:val="both"/>
        <w:rPr>
          <w:noProof/>
          <w:lang w:val="fr-FR"/>
        </w:rPr>
      </w:pPr>
      <w:r w:rsidRPr="00427123">
        <w:rPr>
          <w:noProof/>
          <w:lang w:val="fr-FR"/>
        </w:rPr>
        <w:t>une lettre d’intention de constituer un Groupement, signée par tous ses membres et accompagnée d’une copie de l’accord de Groupement proposé.</w:t>
      </w:r>
    </w:p>
    <w:p w:rsidR="00724001" w:rsidRPr="00427123" w:rsidRDefault="00724001" w:rsidP="00964BB4">
      <w:pPr>
        <w:pStyle w:val="Paragraphedeliste"/>
        <w:spacing w:before="142" w:line="240" w:lineRule="atLeast"/>
        <w:ind w:left="567"/>
        <w:contextualSpacing w:val="0"/>
        <w:jc w:val="both"/>
        <w:rPr>
          <w:noProof/>
          <w:lang w:val="fr-FR"/>
        </w:rPr>
      </w:pPr>
    </w:p>
    <w:p w:rsidR="00715A99" w:rsidRPr="00964BB4" w:rsidRDefault="00715A99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t>En l'absence de ce document, les autres membres seront considérés comme Sous</w:t>
      </w:r>
      <w:r w:rsidRPr="00964BB4">
        <w:rPr>
          <w:lang w:val="fr-FR"/>
        </w:rPr>
        <w:noBreakHyphen/>
        <w:t>traitants.</w:t>
      </w:r>
    </w:p>
    <w:p w:rsidR="00715A99" w:rsidRPr="00964BB4" w:rsidRDefault="00715A99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t>Les références et qualifications des Sous</w:t>
      </w:r>
      <w:r w:rsidRPr="00964BB4">
        <w:rPr>
          <w:lang w:val="fr-FR"/>
        </w:rPr>
        <w:noBreakHyphen/>
        <w:t>traitants ne sont pas prises en compte dans l'évaluation des candidatures.</w:t>
      </w:r>
    </w:p>
    <w:p w:rsidR="00715A99" w:rsidRDefault="00715A99" w:rsidP="00964BB4">
      <w:pPr>
        <w:spacing w:after="200"/>
        <w:jc w:val="both"/>
        <w:rPr>
          <w:lang w:val="fr-FR"/>
        </w:rPr>
      </w:pPr>
      <w:r w:rsidRPr="00964BB4">
        <w:rPr>
          <w:lang w:val="fr-FR"/>
        </w:rPr>
        <w:t xml:space="preserve">Les Candidats intéressés doivent produire les informations démontrant qu’ils sont qualifiés et expérimentés pour réaliser les présents Services. A ce titre, ils justifieront qu’ils possèdent des références de prestations récentes et similaires. </w:t>
      </w:r>
    </w:p>
    <w:p w:rsidR="00715A99" w:rsidRDefault="00715A99" w:rsidP="00715A99">
      <w:pPr>
        <w:spacing w:before="142"/>
        <w:rPr>
          <w:noProof/>
          <w:lang w:val="fr-FR"/>
        </w:rPr>
      </w:pPr>
      <w:r w:rsidRPr="00964BB4">
        <w:rPr>
          <w:noProof/>
          <w:lang w:val="fr-FR"/>
        </w:rPr>
        <w:t>Le caractère similaire des références sera analysé en fonction</w:t>
      </w:r>
      <w:r>
        <w:rPr>
          <w:noProof/>
          <w:lang w:val="fr-FR"/>
        </w:rPr>
        <w:t xml:space="preserve"> de</w:t>
      </w:r>
      <w:r w:rsidRPr="00964BB4">
        <w:rPr>
          <w:noProof/>
          <w:lang w:val="fr-FR"/>
        </w:rPr>
        <w:t xml:space="preserve"> :</w:t>
      </w:r>
    </w:p>
    <w:p w:rsidR="00BD2ED6" w:rsidRPr="00FE53CD" w:rsidRDefault="00BD2ED6" w:rsidP="00BD2ED6">
      <w:pPr>
        <w:pStyle w:val="Paragraphedeliste"/>
        <w:numPr>
          <w:ilvl w:val="0"/>
          <w:numId w:val="17"/>
        </w:numPr>
        <w:spacing w:before="142" w:line="240" w:lineRule="atLeast"/>
        <w:ind w:left="567" w:hanging="567"/>
        <w:contextualSpacing w:val="0"/>
        <w:jc w:val="both"/>
        <w:rPr>
          <w:noProof/>
        </w:rPr>
      </w:pPr>
      <w:r w:rsidRPr="00FE53CD">
        <w:rPr>
          <w:noProof/>
        </w:rPr>
        <w:t>De l’ampleur des marchés ;</w:t>
      </w:r>
    </w:p>
    <w:p w:rsidR="00BD2ED6" w:rsidRPr="00FE53CD" w:rsidRDefault="00BD2ED6" w:rsidP="00BD2ED6">
      <w:pPr>
        <w:pStyle w:val="Paragraphedeliste"/>
        <w:numPr>
          <w:ilvl w:val="0"/>
          <w:numId w:val="17"/>
        </w:numPr>
        <w:spacing w:before="142" w:line="240" w:lineRule="atLeast"/>
        <w:ind w:left="567" w:hanging="567"/>
        <w:contextualSpacing w:val="0"/>
        <w:jc w:val="both"/>
        <w:rPr>
          <w:noProof/>
          <w:lang w:val="fr-FR"/>
        </w:rPr>
      </w:pPr>
      <w:r w:rsidRPr="00FE53CD">
        <w:rPr>
          <w:noProof/>
          <w:lang w:val="fr-FR"/>
        </w:rPr>
        <w:t>De la nature des Services d’étude de faisabilité technique et économique, et d’études d’impact environnemental et social ;</w:t>
      </w:r>
    </w:p>
    <w:p w:rsidR="00BD2ED6" w:rsidRPr="00FE53CD" w:rsidRDefault="00BD2ED6" w:rsidP="00BD2ED6">
      <w:pPr>
        <w:pStyle w:val="Paragraphedeliste"/>
        <w:numPr>
          <w:ilvl w:val="0"/>
          <w:numId w:val="17"/>
        </w:numPr>
        <w:spacing w:before="142" w:line="240" w:lineRule="atLeast"/>
        <w:ind w:left="567" w:hanging="567"/>
        <w:contextualSpacing w:val="0"/>
        <w:jc w:val="both"/>
        <w:rPr>
          <w:noProof/>
          <w:lang w:val="fr-FR"/>
        </w:rPr>
      </w:pPr>
      <w:r w:rsidRPr="00FE53CD">
        <w:rPr>
          <w:noProof/>
          <w:lang w:val="fr-FR"/>
        </w:rPr>
        <w:t>Du domaine et de l’expertise technique dans la préparation de projets de centrales photovoltaïques ;</w:t>
      </w:r>
    </w:p>
    <w:p w:rsidR="00BD2ED6" w:rsidRPr="00FE53CD" w:rsidRDefault="00BD2ED6" w:rsidP="00BD2ED6">
      <w:pPr>
        <w:pStyle w:val="Paragraphedeliste"/>
        <w:numPr>
          <w:ilvl w:val="0"/>
          <w:numId w:val="17"/>
        </w:numPr>
        <w:spacing w:before="142" w:line="240" w:lineRule="atLeast"/>
        <w:ind w:left="567" w:hanging="567"/>
        <w:contextualSpacing w:val="0"/>
        <w:jc w:val="both"/>
        <w:rPr>
          <w:noProof/>
          <w:lang w:val="fr-FR"/>
        </w:rPr>
      </w:pPr>
      <w:r w:rsidRPr="00FE53CD">
        <w:rPr>
          <w:noProof/>
          <w:lang w:val="fr-FR"/>
        </w:rPr>
        <w:t>Du contexte géographique de Bamako.</w:t>
      </w:r>
    </w:p>
    <w:p w:rsidR="002E43F6" w:rsidRPr="00FE53CD" w:rsidRDefault="002E43F6" w:rsidP="00964BB4">
      <w:pPr>
        <w:spacing w:after="200"/>
        <w:jc w:val="both"/>
        <w:rPr>
          <w:noProof/>
          <w:lang w:val="fr-FR"/>
        </w:rPr>
      </w:pPr>
    </w:p>
    <w:p w:rsidR="00715A99" w:rsidRPr="00FE53CD" w:rsidRDefault="00724001" w:rsidP="00964BB4">
      <w:pPr>
        <w:spacing w:after="200"/>
        <w:jc w:val="both"/>
        <w:rPr>
          <w:noProof/>
          <w:lang w:val="fr-FR"/>
        </w:rPr>
      </w:pPr>
      <w:r w:rsidRPr="00FE53CD">
        <w:rPr>
          <w:noProof/>
          <w:lang w:val="fr-FR"/>
        </w:rPr>
        <w:t xml:space="preserve">EDM SA </w:t>
      </w:r>
      <w:r w:rsidR="00BD2ED6" w:rsidRPr="00FE53CD">
        <w:rPr>
          <w:lang w:val="fr-FR"/>
        </w:rPr>
        <w:t>examinera également la pertinence des Manifestations d’Intérêt au regard des critères suivants :</w:t>
      </w:r>
    </w:p>
    <w:p w:rsidR="009F0D2E" w:rsidRPr="00FE53CD" w:rsidRDefault="00715A99" w:rsidP="00BD2ED6">
      <w:pPr>
        <w:numPr>
          <w:ilvl w:val="0"/>
          <w:numId w:val="1"/>
        </w:numPr>
        <w:jc w:val="both"/>
        <w:rPr>
          <w:lang w:val="fr-FR"/>
        </w:rPr>
      </w:pPr>
      <w:r w:rsidRPr="00FE53CD">
        <w:rPr>
          <w:rFonts w:ascii="Calibri" w:eastAsia="Calibri" w:hAnsi="Calibri"/>
          <w:sz w:val="22"/>
          <w:szCs w:val="22"/>
          <w:lang w:val="fr-FR"/>
        </w:rPr>
        <w:t>L’</w:t>
      </w:r>
      <w:r w:rsidR="00DC04A4" w:rsidRPr="00FE53CD">
        <w:rPr>
          <w:lang w:val="fr-FR"/>
        </w:rPr>
        <w:t>Expérience générale</w:t>
      </w:r>
      <w:r w:rsidR="00007291" w:rsidRPr="00FE53CD">
        <w:rPr>
          <w:lang w:val="fr-FR"/>
        </w:rPr>
        <w:t xml:space="preserve"> du bureau, Organisation </w:t>
      </w:r>
      <w:r w:rsidR="009F0D2E" w:rsidRPr="00FE53CD">
        <w:rPr>
          <w:lang w:val="fr-FR"/>
        </w:rPr>
        <w:t>et certifications</w:t>
      </w:r>
    </w:p>
    <w:p w:rsidR="009F0D2E" w:rsidRDefault="009F0D2E" w:rsidP="006038BB">
      <w:pPr>
        <w:numPr>
          <w:ilvl w:val="2"/>
          <w:numId w:val="1"/>
        </w:numPr>
        <w:jc w:val="both"/>
        <w:rPr>
          <w:lang w:val="fr-FR"/>
        </w:rPr>
      </w:pPr>
      <w:r w:rsidRPr="00FE53CD">
        <w:rPr>
          <w:lang w:val="fr-FR"/>
        </w:rPr>
        <w:t>Présentation générale</w:t>
      </w:r>
      <w:r>
        <w:rPr>
          <w:lang w:val="fr-FR"/>
        </w:rPr>
        <w:t xml:space="preserve"> du bureau avec son organisation et les certificats de qualité obtenus</w:t>
      </w:r>
      <w:r w:rsidRPr="006A7930">
        <w:rPr>
          <w:lang w:val="fr-FR"/>
        </w:rPr>
        <w:t>.</w:t>
      </w:r>
    </w:p>
    <w:p w:rsidR="009F0D2E" w:rsidRPr="006A7930" w:rsidRDefault="009F0D2E" w:rsidP="006038BB">
      <w:pPr>
        <w:ind w:left="1069"/>
        <w:jc w:val="both"/>
        <w:rPr>
          <w:lang w:val="fr-FR"/>
        </w:rPr>
      </w:pPr>
    </w:p>
    <w:p w:rsidR="009F0D2E" w:rsidRPr="006A7930" w:rsidRDefault="009F0D2E" w:rsidP="006038BB">
      <w:pPr>
        <w:numPr>
          <w:ilvl w:val="0"/>
          <w:numId w:val="1"/>
        </w:numPr>
        <w:jc w:val="both"/>
        <w:rPr>
          <w:lang w:val="fr-FR"/>
        </w:rPr>
      </w:pPr>
      <w:r w:rsidRPr="006A7930">
        <w:rPr>
          <w:lang w:val="fr-FR"/>
        </w:rPr>
        <w:t>Expérience</w:t>
      </w:r>
      <w:r w:rsidR="008B453F">
        <w:rPr>
          <w:lang w:val="fr-FR"/>
        </w:rPr>
        <w:t>s</w:t>
      </w:r>
      <w:r w:rsidRPr="006A7930">
        <w:rPr>
          <w:lang w:val="fr-FR"/>
        </w:rPr>
        <w:t xml:space="preserve"> </w:t>
      </w:r>
      <w:r>
        <w:rPr>
          <w:lang w:val="fr-FR"/>
        </w:rPr>
        <w:t xml:space="preserve">spécifiques </w:t>
      </w:r>
      <w:r w:rsidRPr="006A7930">
        <w:rPr>
          <w:lang w:val="fr-FR"/>
        </w:rPr>
        <w:t>dans l’exécution de contrats similaires</w:t>
      </w:r>
    </w:p>
    <w:p w:rsidR="00925508" w:rsidRDefault="00925508" w:rsidP="006038BB">
      <w:pPr>
        <w:numPr>
          <w:ilvl w:val="2"/>
          <w:numId w:val="1"/>
        </w:numPr>
        <w:jc w:val="both"/>
        <w:rPr>
          <w:lang w:val="fr-FR"/>
        </w:rPr>
      </w:pPr>
      <w:r>
        <w:rPr>
          <w:lang w:val="fr-FR"/>
        </w:rPr>
        <w:t>Attestation de bonne fin dans réalisation d’études environnementale et sociale ;</w:t>
      </w:r>
    </w:p>
    <w:p w:rsidR="009F0D2E" w:rsidRPr="003A29BE" w:rsidRDefault="009F0D2E" w:rsidP="006038BB">
      <w:pPr>
        <w:numPr>
          <w:ilvl w:val="2"/>
          <w:numId w:val="1"/>
        </w:numPr>
        <w:jc w:val="both"/>
        <w:rPr>
          <w:lang w:val="fr-FR"/>
        </w:rPr>
      </w:pPr>
      <w:r w:rsidRPr="006A7930">
        <w:rPr>
          <w:lang w:val="fr-FR"/>
        </w:rPr>
        <w:t xml:space="preserve">Attestation de bonne fin dans </w:t>
      </w:r>
      <w:r>
        <w:rPr>
          <w:lang w:val="fr-FR"/>
        </w:rPr>
        <w:t>la mise en œuvre des études de centrale solaire PV à injection sur le réseau HTB</w:t>
      </w:r>
      <w:r w:rsidRPr="006A7930">
        <w:rPr>
          <w:lang w:val="fr-FR"/>
        </w:rPr>
        <w:t>.</w:t>
      </w:r>
    </w:p>
    <w:p w:rsidR="009F0D2E" w:rsidRDefault="009F0D2E" w:rsidP="006038BB">
      <w:pPr>
        <w:ind w:left="720"/>
        <w:jc w:val="both"/>
        <w:rPr>
          <w:lang w:val="fr-FR"/>
        </w:rPr>
      </w:pPr>
    </w:p>
    <w:p w:rsidR="009F0D2E" w:rsidRPr="006A7930" w:rsidRDefault="009F0D2E" w:rsidP="006038BB">
      <w:pPr>
        <w:numPr>
          <w:ilvl w:val="0"/>
          <w:numId w:val="1"/>
        </w:numPr>
        <w:jc w:val="both"/>
        <w:rPr>
          <w:lang w:val="fr-FR"/>
        </w:rPr>
      </w:pPr>
      <w:r w:rsidRPr="006A7930">
        <w:rPr>
          <w:lang w:val="fr-FR"/>
        </w:rPr>
        <w:t xml:space="preserve">Expérience </w:t>
      </w:r>
      <w:r>
        <w:rPr>
          <w:lang w:val="fr-FR"/>
        </w:rPr>
        <w:t>dans les études similaires dans la sous-région</w:t>
      </w:r>
    </w:p>
    <w:p w:rsidR="009F0D2E" w:rsidRPr="006A7930" w:rsidRDefault="009F0D2E" w:rsidP="006038BB">
      <w:pPr>
        <w:numPr>
          <w:ilvl w:val="2"/>
          <w:numId w:val="1"/>
        </w:numPr>
        <w:jc w:val="both"/>
        <w:rPr>
          <w:lang w:val="fr-FR"/>
        </w:rPr>
      </w:pPr>
      <w:r w:rsidRPr="006A7930">
        <w:rPr>
          <w:lang w:val="fr-FR"/>
        </w:rPr>
        <w:t xml:space="preserve">Attestation de bonne fin </w:t>
      </w:r>
      <w:r>
        <w:rPr>
          <w:lang w:val="fr-FR"/>
        </w:rPr>
        <w:t xml:space="preserve">pour les études réalisées </w:t>
      </w:r>
      <w:r w:rsidRPr="006A7930">
        <w:rPr>
          <w:lang w:val="fr-FR"/>
        </w:rPr>
        <w:t>d</w:t>
      </w:r>
      <w:r>
        <w:rPr>
          <w:lang w:val="fr-FR"/>
        </w:rPr>
        <w:t>ans la sous-région</w:t>
      </w:r>
      <w:r w:rsidRPr="006A7930">
        <w:rPr>
          <w:lang w:val="fr-FR"/>
        </w:rPr>
        <w:t>.</w:t>
      </w:r>
    </w:p>
    <w:p w:rsidR="00532652" w:rsidRPr="00964BB4" w:rsidRDefault="00532652" w:rsidP="006038BB">
      <w:pPr>
        <w:tabs>
          <w:tab w:val="left" w:pos="567"/>
        </w:tabs>
        <w:jc w:val="both"/>
        <w:rPr>
          <w:sz w:val="22"/>
          <w:szCs w:val="22"/>
          <w:highlight w:val="yellow"/>
          <w:lang w:val="fr-FR"/>
        </w:rPr>
      </w:pPr>
    </w:p>
    <w:p w:rsidR="00532652" w:rsidRPr="00964BB4" w:rsidRDefault="00BD2ED6" w:rsidP="006038BB">
      <w:pPr>
        <w:tabs>
          <w:tab w:val="left" w:pos="567"/>
        </w:tabs>
        <w:ind w:right="72"/>
        <w:jc w:val="both"/>
        <w:rPr>
          <w:lang w:val="fr-FR"/>
        </w:rPr>
      </w:pPr>
      <w:r>
        <w:rPr>
          <w:noProof/>
          <w:lang w:val="fr-FR"/>
        </w:rPr>
        <w:t xml:space="preserve">EDM SA </w:t>
      </w:r>
      <w:r w:rsidRPr="00964BB4">
        <w:rPr>
          <w:noProof/>
          <w:lang w:val="fr-FR"/>
        </w:rPr>
        <w:t>dressera une liste restreinte de six (6) Candidats maximum, présélectionnés sur la base des candidatures reçues, auxquels il adressera la Demande de Propositions pour la réalisation des Services requis.</w:t>
      </w:r>
      <w:r w:rsidR="00532652" w:rsidRPr="00964BB4">
        <w:rPr>
          <w:lang w:val="fr-FR"/>
        </w:rPr>
        <w:t> </w:t>
      </w:r>
    </w:p>
    <w:p w:rsidR="00532652" w:rsidRPr="00964BB4" w:rsidRDefault="00532652" w:rsidP="006038BB">
      <w:pPr>
        <w:tabs>
          <w:tab w:val="left" w:pos="567"/>
        </w:tabs>
        <w:jc w:val="both"/>
        <w:rPr>
          <w:highlight w:val="yellow"/>
          <w:lang w:val="fr-FR"/>
        </w:rPr>
      </w:pPr>
    </w:p>
    <w:p w:rsidR="00DC04A4" w:rsidRPr="00964BB4" w:rsidRDefault="00DC04A4" w:rsidP="006038BB">
      <w:pPr>
        <w:jc w:val="both"/>
        <w:rPr>
          <w:lang w:val="fr-FR"/>
        </w:rPr>
      </w:pPr>
      <w:r w:rsidRPr="00964BB4">
        <w:rPr>
          <w:lang w:val="fr-FR"/>
        </w:rPr>
        <w:t>Les consultants</w:t>
      </w:r>
      <w:r w:rsidRPr="006038BB">
        <w:rPr>
          <w:lang w:val="fr-ML"/>
        </w:rPr>
        <w:t xml:space="preserve"> intéressés</w:t>
      </w:r>
      <w:r w:rsidRPr="00964BB4">
        <w:rPr>
          <w:lang w:val="fr-FR"/>
        </w:rPr>
        <w:t xml:space="preserve"> par le</w:t>
      </w:r>
      <w:r w:rsidRPr="006038BB">
        <w:rPr>
          <w:lang w:val="fr-ML"/>
        </w:rPr>
        <w:t xml:space="preserve"> présent</w:t>
      </w:r>
      <w:r w:rsidRPr="00964BB4">
        <w:rPr>
          <w:lang w:val="fr-FR"/>
        </w:rPr>
        <w:t xml:space="preserve"> avis à manifestation d’intérêt peuvent retirer les termes de référence auprès du secrétariat du Directeur </w:t>
      </w:r>
      <w:r w:rsidR="002E0E31" w:rsidRPr="002E0E31">
        <w:rPr>
          <w:lang w:val="fr-FR"/>
        </w:rPr>
        <w:t>Études</w:t>
      </w:r>
      <w:r w:rsidRPr="00964BB4">
        <w:rPr>
          <w:lang w:val="fr-FR"/>
        </w:rPr>
        <w:t xml:space="preserve"> et Planification Stratégique (DEPS)</w:t>
      </w:r>
      <w:r w:rsidR="00144B93">
        <w:rPr>
          <w:lang w:val="fr-FR"/>
        </w:rPr>
        <w:t>,</w:t>
      </w:r>
      <w:r w:rsidRPr="00964BB4">
        <w:rPr>
          <w:lang w:val="fr-FR"/>
        </w:rPr>
        <w:t xml:space="preserve"> </w:t>
      </w:r>
      <w:r w:rsidRPr="00964BB4">
        <w:rPr>
          <w:bCs/>
          <w:lang w:val="fr-FR"/>
        </w:rPr>
        <w:t xml:space="preserve">sis </w:t>
      </w:r>
      <w:r w:rsidR="00EF3648">
        <w:rPr>
          <w:bCs/>
          <w:lang w:val="fr-FR"/>
        </w:rPr>
        <w:lastRenderedPageBreak/>
        <w:t>à l’</w:t>
      </w:r>
      <w:r w:rsidRPr="00964BB4">
        <w:rPr>
          <w:bCs/>
          <w:lang w:val="fr-FR"/>
        </w:rPr>
        <w:t>ACI 2000</w:t>
      </w:r>
      <w:r w:rsidR="00EF3648">
        <w:rPr>
          <w:bCs/>
          <w:lang w:val="fr-FR"/>
        </w:rPr>
        <w:t>,</w:t>
      </w:r>
      <w:r w:rsidRPr="00964BB4">
        <w:rPr>
          <w:bCs/>
          <w:lang w:val="fr-FR"/>
        </w:rPr>
        <w:t xml:space="preserve"> Ex Immeuble BMS</w:t>
      </w:r>
      <w:r w:rsidR="00EF3648">
        <w:rPr>
          <w:bCs/>
          <w:lang w:val="fr-FR"/>
        </w:rPr>
        <w:t>,</w:t>
      </w:r>
      <w:r w:rsidRPr="00964BB4">
        <w:rPr>
          <w:bCs/>
          <w:lang w:val="fr-FR"/>
        </w:rPr>
        <w:t xml:space="preserve"> </w:t>
      </w:r>
      <w:r w:rsidRPr="00964BB4">
        <w:rPr>
          <w:lang w:val="fr-FR"/>
        </w:rPr>
        <w:t>BP : 69, Tél : +223 20 29 47 69</w:t>
      </w:r>
      <w:r w:rsidR="00144B93">
        <w:rPr>
          <w:lang w:val="fr-FR"/>
        </w:rPr>
        <w:t>,</w:t>
      </w:r>
      <w:r w:rsidRPr="00964BB4">
        <w:rPr>
          <w:lang w:val="fr-FR"/>
        </w:rPr>
        <w:t xml:space="preserve"> </w:t>
      </w:r>
      <w:r w:rsidRPr="00964BB4">
        <w:rPr>
          <w:bCs/>
          <w:lang w:val="fr-FR"/>
        </w:rPr>
        <w:t xml:space="preserve">tous </w:t>
      </w:r>
      <w:r w:rsidRPr="00964BB4">
        <w:rPr>
          <w:lang w:val="fr-FR"/>
        </w:rPr>
        <w:t>les jours ouvrables de 08 H 00 à 16 H 00</w:t>
      </w:r>
      <w:r w:rsidR="00EF3648">
        <w:rPr>
          <w:lang w:val="fr-FR"/>
        </w:rPr>
        <w:t>,</w:t>
      </w:r>
      <w:r w:rsidRPr="00964BB4">
        <w:rPr>
          <w:lang w:val="fr-FR"/>
        </w:rPr>
        <w:t xml:space="preserve"> à compter de la date de publication du présent avis.</w:t>
      </w:r>
    </w:p>
    <w:p w:rsidR="00DC04A4" w:rsidRPr="008779C2" w:rsidRDefault="00DC04A4" w:rsidP="006038BB">
      <w:pPr>
        <w:ind w:right="72"/>
        <w:jc w:val="both"/>
        <w:rPr>
          <w:lang w:val="fr-ML"/>
        </w:rPr>
      </w:pPr>
    </w:p>
    <w:p w:rsidR="00DC04A4" w:rsidRPr="008779C2" w:rsidRDefault="00DC04A4" w:rsidP="006038BB">
      <w:pPr>
        <w:jc w:val="both"/>
        <w:rPr>
          <w:lang w:val="fr-ML"/>
        </w:rPr>
      </w:pPr>
      <w:r w:rsidRPr="008779C2">
        <w:rPr>
          <w:lang w:val="fr-ML"/>
        </w:rPr>
        <w:t>Les Consultants intéressés peuvent obtenir des informations supplémentaires tous les jours ouvrables de 08 H 00 à 16 H 00 heures locales auprès de :</w:t>
      </w:r>
    </w:p>
    <w:p w:rsidR="00532652" w:rsidRPr="00964BB4" w:rsidRDefault="00532652" w:rsidP="006038BB">
      <w:pPr>
        <w:pStyle w:val="Paragraphedeliste"/>
        <w:tabs>
          <w:tab w:val="left" w:pos="567"/>
        </w:tabs>
        <w:ind w:left="0"/>
        <w:jc w:val="both"/>
        <w:rPr>
          <w:sz w:val="22"/>
          <w:szCs w:val="22"/>
          <w:lang w:val="fr-FR"/>
        </w:rPr>
      </w:pPr>
    </w:p>
    <w:p w:rsidR="008B453F" w:rsidRDefault="008B453F" w:rsidP="005203A9">
      <w:pPr>
        <w:pStyle w:val="Paragraphedeliste"/>
        <w:numPr>
          <w:ilvl w:val="0"/>
          <w:numId w:val="2"/>
        </w:numPr>
        <w:tabs>
          <w:tab w:val="left" w:pos="567"/>
        </w:tabs>
        <w:spacing w:after="120"/>
        <w:contextualSpacing w:val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M. Abdoulaye Djibril DIALLO, </w:t>
      </w:r>
      <w:r w:rsidRPr="00964BB4">
        <w:rPr>
          <w:lang w:val="fr-FR"/>
        </w:rPr>
        <w:t xml:space="preserve">Directeur </w:t>
      </w:r>
      <w:r w:rsidRPr="002E0E31">
        <w:rPr>
          <w:lang w:val="fr-FR"/>
        </w:rPr>
        <w:t>Études</w:t>
      </w:r>
      <w:r w:rsidRPr="00964BB4">
        <w:rPr>
          <w:lang w:val="fr-FR"/>
        </w:rPr>
        <w:t xml:space="preserve"> et Planification Stratégique</w:t>
      </w:r>
      <w:r>
        <w:rPr>
          <w:lang w:val="fr-FR"/>
        </w:rPr>
        <w:t xml:space="preserve">, email : </w:t>
      </w:r>
      <w:r w:rsidR="006F024C" w:rsidRPr="006F024C">
        <w:rPr>
          <w:color w:val="0432FF"/>
          <w:lang w:val="fr-FR"/>
        </w:rPr>
        <w:t>abdiallo@edmsa.ml,</w:t>
      </w:r>
      <w:r w:rsidR="005203A9">
        <w:rPr>
          <w:lang w:val="fr-FR"/>
        </w:rPr>
        <w:t xml:space="preserve"> tél : +223 20 29 14 88 ;</w:t>
      </w:r>
    </w:p>
    <w:p w:rsidR="00532652" w:rsidRPr="00964BB4" w:rsidRDefault="00F04660" w:rsidP="005203A9">
      <w:pPr>
        <w:pStyle w:val="Paragraphedeliste"/>
        <w:numPr>
          <w:ilvl w:val="0"/>
          <w:numId w:val="2"/>
        </w:numPr>
        <w:tabs>
          <w:tab w:val="left" w:pos="567"/>
        </w:tabs>
        <w:spacing w:after="120"/>
        <w:contextualSpacing w:val="0"/>
        <w:rPr>
          <w:sz w:val="22"/>
          <w:szCs w:val="22"/>
          <w:lang w:val="fr-FR"/>
        </w:rPr>
      </w:pPr>
      <w:r w:rsidRPr="00964BB4">
        <w:rPr>
          <w:sz w:val="22"/>
          <w:szCs w:val="22"/>
          <w:lang w:val="fr-FR"/>
        </w:rPr>
        <w:t xml:space="preserve">M. </w:t>
      </w:r>
      <w:r w:rsidR="00532652" w:rsidRPr="00964BB4">
        <w:rPr>
          <w:sz w:val="22"/>
          <w:szCs w:val="22"/>
          <w:lang w:val="fr-FR"/>
        </w:rPr>
        <w:t xml:space="preserve">Fousseyni DIARRA, </w:t>
      </w:r>
      <w:r w:rsidR="00532652" w:rsidRPr="00537463">
        <w:rPr>
          <w:lang w:val="fr-FR"/>
        </w:rPr>
        <w:t>Chef de Département Suivi des Projets Structurants</w:t>
      </w:r>
      <w:r w:rsidR="00532652" w:rsidRPr="00964BB4">
        <w:rPr>
          <w:sz w:val="22"/>
          <w:szCs w:val="22"/>
          <w:lang w:val="fr-FR"/>
        </w:rPr>
        <w:t xml:space="preserve">, email : </w:t>
      </w:r>
      <w:r w:rsidR="006F024C" w:rsidRPr="006F024C">
        <w:rPr>
          <w:color w:val="0432FF"/>
          <w:lang w:val="fr-FR"/>
        </w:rPr>
        <w:t>fodiarra@edmsa.ml</w:t>
      </w:r>
      <w:r w:rsidR="006F024C" w:rsidRPr="006F024C">
        <w:rPr>
          <w:lang w:val="fr-FR"/>
        </w:rPr>
        <w:t xml:space="preserve"> </w:t>
      </w:r>
      <w:r w:rsidR="006F024C" w:rsidRPr="00964BB4">
        <w:rPr>
          <w:sz w:val="22"/>
          <w:szCs w:val="22"/>
          <w:lang w:val="fr-FR"/>
        </w:rPr>
        <w:t>;</w:t>
      </w:r>
      <w:r w:rsidR="00532652" w:rsidRPr="00964BB4">
        <w:rPr>
          <w:sz w:val="22"/>
          <w:szCs w:val="22"/>
          <w:lang w:val="fr-FR"/>
        </w:rPr>
        <w:t xml:space="preserve"> </w:t>
      </w:r>
      <w:r w:rsidRPr="00537463">
        <w:rPr>
          <w:lang w:val="fr-FR"/>
        </w:rPr>
        <w:t>tél :</w:t>
      </w:r>
      <w:r w:rsidR="00537463" w:rsidRPr="00537463">
        <w:rPr>
          <w:lang w:val="fr-FR"/>
        </w:rPr>
        <w:t xml:space="preserve"> </w:t>
      </w:r>
      <w:r w:rsidRPr="00537463">
        <w:rPr>
          <w:lang w:val="fr-FR"/>
        </w:rPr>
        <w:t>+223 66 75</w:t>
      </w:r>
      <w:r w:rsidR="00532652" w:rsidRPr="00537463">
        <w:rPr>
          <w:lang w:val="fr-FR"/>
        </w:rPr>
        <w:t xml:space="preserve"> </w:t>
      </w:r>
      <w:r w:rsidRPr="00537463">
        <w:rPr>
          <w:lang w:val="fr-FR"/>
        </w:rPr>
        <w:t>92 17</w:t>
      </w:r>
      <w:r w:rsidR="00532652" w:rsidRPr="00537463">
        <w:rPr>
          <w:lang w:val="fr-FR"/>
        </w:rPr>
        <w:t>;</w:t>
      </w:r>
    </w:p>
    <w:p w:rsidR="00532652" w:rsidRPr="00F04660" w:rsidRDefault="00532652" w:rsidP="005203A9">
      <w:pPr>
        <w:pStyle w:val="Paragraphedeliste"/>
        <w:numPr>
          <w:ilvl w:val="0"/>
          <w:numId w:val="2"/>
        </w:numPr>
        <w:tabs>
          <w:tab w:val="left" w:pos="567"/>
        </w:tabs>
        <w:spacing w:after="120"/>
        <w:contextualSpacing w:val="0"/>
        <w:rPr>
          <w:lang w:val="fr-FR"/>
        </w:rPr>
      </w:pPr>
      <w:r w:rsidRPr="00F04660">
        <w:rPr>
          <w:lang w:val="fr-FR"/>
        </w:rPr>
        <w:t>M.</w:t>
      </w:r>
      <w:r w:rsidR="005203A9">
        <w:rPr>
          <w:lang w:val="fr-FR"/>
        </w:rPr>
        <w:t xml:space="preserve"> </w:t>
      </w:r>
      <w:r w:rsidRPr="00F04660">
        <w:rPr>
          <w:lang w:val="fr-FR"/>
        </w:rPr>
        <w:t xml:space="preserve">Habou COULIBALY, Chargé de Planification stratégique, email : </w:t>
      </w:r>
      <w:r w:rsidRPr="006F024C">
        <w:rPr>
          <w:color w:val="0432FF"/>
          <w:lang w:val="fr-FR"/>
        </w:rPr>
        <w:t>hcoulibaly@edmsa.ml,</w:t>
      </w:r>
      <w:r w:rsidRPr="00F04660">
        <w:rPr>
          <w:lang w:val="fr-FR"/>
        </w:rPr>
        <w:t xml:space="preserve"> tél : +223 66 75 43 68 ;</w:t>
      </w:r>
    </w:p>
    <w:p w:rsidR="00532652" w:rsidRPr="00964BB4" w:rsidRDefault="00532652" w:rsidP="006038BB">
      <w:pPr>
        <w:pStyle w:val="Paragraphedeliste"/>
        <w:tabs>
          <w:tab w:val="left" w:pos="567"/>
        </w:tabs>
        <w:ind w:left="0"/>
        <w:jc w:val="both"/>
        <w:rPr>
          <w:sz w:val="22"/>
          <w:szCs w:val="22"/>
          <w:highlight w:val="yellow"/>
          <w:lang w:val="fr-FR"/>
        </w:rPr>
      </w:pPr>
    </w:p>
    <w:p w:rsidR="00DC04A4" w:rsidRPr="00964BB4" w:rsidRDefault="00DC04A4" w:rsidP="006038BB">
      <w:pPr>
        <w:jc w:val="both"/>
        <w:rPr>
          <w:sz w:val="22"/>
          <w:szCs w:val="22"/>
          <w:lang w:val="fr-FR"/>
        </w:rPr>
      </w:pPr>
      <w:r w:rsidRPr="00FE53CD">
        <w:rPr>
          <w:lang w:val="fr-ML"/>
        </w:rPr>
        <w:t xml:space="preserve">Les manifestations d’intérêt doivent être déposées </w:t>
      </w:r>
      <w:r w:rsidRPr="00FE53CD">
        <w:rPr>
          <w:lang w:val="fr-FR"/>
        </w:rPr>
        <w:t>au plus tard</w:t>
      </w:r>
      <w:r w:rsidR="00EF3648">
        <w:rPr>
          <w:lang w:val="fr-FR"/>
        </w:rPr>
        <w:t>,</w:t>
      </w:r>
      <w:r w:rsidRPr="00FE53CD">
        <w:rPr>
          <w:lang w:val="fr-FR"/>
        </w:rPr>
        <w:t xml:space="preserve"> le </w:t>
      </w:r>
      <w:r w:rsidR="005203A9">
        <w:rPr>
          <w:b/>
          <w:lang w:val="fr-FR"/>
        </w:rPr>
        <w:t>14</w:t>
      </w:r>
      <w:r w:rsidR="00B94883">
        <w:rPr>
          <w:b/>
          <w:lang w:val="fr-FR"/>
        </w:rPr>
        <w:t xml:space="preserve"> </w:t>
      </w:r>
      <w:r w:rsidR="005203A9">
        <w:rPr>
          <w:b/>
          <w:lang w:val="fr-FR"/>
        </w:rPr>
        <w:t>mai</w:t>
      </w:r>
      <w:r w:rsidRPr="00FE53CD">
        <w:rPr>
          <w:b/>
          <w:lang w:val="fr-FR"/>
        </w:rPr>
        <w:t xml:space="preserve"> </w:t>
      </w:r>
      <w:r w:rsidR="001F055F" w:rsidRPr="00FE53CD">
        <w:rPr>
          <w:b/>
          <w:lang w:val="fr-FR"/>
        </w:rPr>
        <w:t>2020</w:t>
      </w:r>
      <w:r w:rsidRPr="00FE53CD">
        <w:rPr>
          <w:lang w:val="fr-FR"/>
        </w:rPr>
        <w:t xml:space="preserve"> </w:t>
      </w:r>
      <w:r w:rsidRPr="00FE53CD">
        <w:rPr>
          <w:lang w:val="fr-ML"/>
        </w:rPr>
        <w:t>sous la mention : Manifestati</w:t>
      </w:r>
      <w:r w:rsidR="00007291" w:rsidRPr="00FE53CD">
        <w:rPr>
          <w:lang w:val="fr-ML"/>
        </w:rPr>
        <w:t xml:space="preserve">on d’intérêts « </w:t>
      </w:r>
      <w:r w:rsidR="00007291" w:rsidRPr="00FE53CD">
        <w:rPr>
          <w:b/>
          <w:lang w:val="fr-ML"/>
        </w:rPr>
        <w:t xml:space="preserve">Projet </w:t>
      </w:r>
      <w:r w:rsidR="00007291" w:rsidRPr="00FE53CD">
        <w:rPr>
          <w:b/>
          <w:bCs/>
          <w:lang w:val="fr-FR"/>
        </w:rPr>
        <w:t>de la réalisation des études de faisabilités technique, économique, financière, environnementale et sociale des centrales solaires photovoltaïques</w:t>
      </w:r>
      <w:r w:rsidR="003C66F3" w:rsidRPr="00FE53CD">
        <w:rPr>
          <w:b/>
          <w:bCs/>
          <w:lang w:val="fr-FR"/>
        </w:rPr>
        <w:t xml:space="preserve"> (PV) de</w:t>
      </w:r>
      <w:r w:rsidR="00007291" w:rsidRPr="00FE53CD">
        <w:rPr>
          <w:b/>
          <w:bCs/>
          <w:lang w:val="fr-FR"/>
        </w:rPr>
        <w:t xml:space="preserve"> Kambila et </w:t>
      </w:r>
      <w:r w:rsidR="002E0E31" w:rsidRPr="00FE53CD">
        <w:rPr>
          <w:b/>
          <w:bCs/>
          <w:lang w:val="fr-FR"/>
        </w:rPr>
        <w:t>Safo</w:t>
      </w:r>
      <w:r w:rsidR="00007291" w:rsidRPr="00FE53CD">
        <w:rPr>
          <w:b/>
          <w:bCs/>
          <w:lang w:val="fr-FR"/>
        </w:rPr>
        <w:t xml:space="preserve"> </w:t>
      </w:r>
      <w:r w:rsidRPr="00FE53CD">
        <w:rPr>
          <w:lang w:val="fr-ML"/>
        </w:rPr>
        <w:t>»</w:t>
      </w:r>
      <w:r w:rsidR="00EF3648">
        <w:rPr>
          <w:lang w:val="fr-ML"/>
        </w:rPr>
        <w:t>,</w:t>
      </w:r>
      <w:r w:rsidRPr="00FE53CD">
        <w:rPr>
          <w:lang w:val="fr-ML"/>
        </w:rPr>
        <w:t xml:space="preserve"> au secrétariat de la Direction </w:t>
      </w:r>
      <w:r w:rsidR="002E0E31" w:rsidRPr="00FE53CD">
        <w:rPr>
          <w:lang w:val="fr-ML"/>
        </w:rPr>
        <w:t>Études</w:t>
      </w:r>
      <w:r w:rsidRPr="00FE53CD">
        <w:rPr>
          <w:lang w:val="fr-ML"/>
        </w:rPr>
        <w:t xml:space="preserve"> et Planification Stratégique, Immeuble Diogo KEITA (Ex-immeuble BMS)</w:t>
      </w:r>
      <w:r w:rsidR="00EF3648">
        <w:rPr>
          <w:lang w:val="fr-ML"/>
        </w:rPr>
        <w:t>,</w:t>
      </w:r>
      <w:r w:rsidRPr="00FE53CD">
        <w:rPr>
          <w:lang w:val="fr-ML"/>
        </w:rPr>
        <w:t xml:space="preserve"> près du </w:t>
      </w:r>
      <w:r w:rsidR="002E0E31" w:rsidRPr="00FE53CD">
        <w:rPr>
          <w:lang w:val="fr-ML"/>
        </w:rPr>
        <w:t xml:space="preserve">Siège </w:t>
      </w:r>
      <w:r w:rsidRPr="00FE53CD">
        <w:rPr>
          <w:lang w:val="fr-ML"/>
        </w:rPr>
        <w:t xml:space="preserve">de </w:t>
      </w:r>
      <w:r w:rsidR="002E0E31" w:rsidRPr="00FE53CD">
        <w:rPr>
          <w:lang w:val="fr-ML"/>
        </w:rPr>
        <w:t>Kafo </w:t>
      </w:r>
      <w:r w:rsidRPr="00FE53CD">
        <w:rPr>
          <w:lang w:val="fr-ML"/>
        </w:rPr>
        <w:t>Djiguinew ACI 2000 – BAMAKO, 2</w:t>
      </w:r>
      <w:r w:rsidRPr="00FE53CD">
        <w:rPr>
          <w:vertAlign w:val="superscript"/>
          <w:lang w:val="fr-ML"/>
        </w:rPr>
        <w:t>ème</w:t>
      </w:r>
      <w:r w:rsidR="002E0E31" w:rsidRPr="00FE53CD">
        <w:rPr>
          <w:lang w:val="fr-ML"/>
        </w:rPr>
        <w:t xml:space="preserve"> é</w:t>
      </w:r>
      <w:r w:rsidRPr="00FE53CD">
        <w:rPr>
          <w:lang w:val="fr-ML"/>
        </w:rPr>
        <w:t xml:space="preserve">tage </w:t>
      </w:r>
      <w:r w:rsidRPr="00FE53CD">
        <w:rPr>
          <w:lang w:val="fr-FR"/>
        </w:rPr>
        <w:t xml:space="preserve">ou transmises par courrier électronique </w:t>
      </w:r>
      <w:r w:rsidR="00463F2A">
        <w:rPr>
          <w:lang w:val="fr-FR"/>
        </w:rPr>
        <w:t>aux adresses suivantes : </w:t>
      </w:r>
      <w:r w:rsidR="00463F2A">
        <w:rPr>
          <w:sz w:val="22"/>
          <w:szCs w:val="22"/>
          <w:lang w:val="fr-FR"/>
        </w:rPr>
        <w:t>M. Abdoulaye Djibril DIALLO</w:t>
      </w:r>
      <w:r w:rsidR="00463F2A" w:rsidRPr="00FE53CD">
        <w:rPr>
          <w:lang w:val="fr-FR"/>
        </w:rPr>
        <w:t xml:space="preserve"> </w:t>
      </w:r>
      <w:hyperlink r:id="rId9" w:history="1">
        <w:r w:rsidR="00463F2A" w:rsidRPr="00F475B3">
          <w:rPr>
            <w:rStyle w:val="Lienhypertexte"/>
            <w:lang w:val="fr-FR"/>
          </w:rPr>
          <w:t>abdiallo@edmsa.ml</w:t>
        </w:r>
      </w:hyperlink>
      <w:r w:rsidR="00463F2A">
        <w:rPr>
          <w:lang w:val="fr-FR"/>
        </w:rPr>
        <w:t xml:space="preserve">, </w:t>
      </w:r>
      <w:r w:rsidR="001F055F" w:rsidRPr="00FE53CD">
        <w:rPr>
          <w:lang w:val="fr-FR"/>
        </w:rPr>
        <w:t>M</w:t>
      </w:r>
      <w:r w:rsidR="002E0E31" w:rsidRPr="00FE53CD">
        <w:rPr>
          <w:lang w:val="fr-FR"/>
        </w:rPr>
        <w:t>. </w:t>
      </w:r>
      <w:r w:rsidRPr="00FE53CD">
        <w:rPr>
          <w:lang w:val="fr-FR"/>
        </w:rPr>
        <w:t xml:space="preserve">Fousseyni DIARRA </w:t>
      </w:r>
      <w:r w:rsidR="001F055F" w:rsidRPr="00FE53CD">
        <w:rPr>
          <w:lang w:val="fr-FR"/>
        </w:rPr>
        <w:t>(</w:t>
      </w:r>
      <w:hyperlink r:id="rId10" w:history="1">
        <w:r w:rsidRPr="00FE53CD">
          <w:rPr>
            <w:rStyle w:val="Lienhypertexte"/>
            <w:lang w:val="fr-FR"/>
          </w:rPr>
          <w:t>fodiarra@edmsa.ml</w:t>
        </w:r>
      </w:hyperlink>
      <w:r w:rsidR="001F055F" w:rsidRPr="00FE53CD">
        <w:rPr>
          <w:lang w:val="fr-FR"/>
        </w:rPr>
        <w:t>)</w:t>
      </w:r>
      <w:r w:rsidRPr="00FE53CD">
        <w:rPr>
          <w:lang w:val="fr-FR"/>
        </w:rPr>
        <w:t xml:space="preserve">, </w:t>
      </w:r>
      <w:r w:rsidR="001F055F" w:rsidRPr="00FE53CD">
        <w:rPr>
          <w:lang w:val="fr-ML"/>
        </w:rPr>
        <w:t>M</w:t>
      </w:r>
      <w:r w:rsidR="002E0E31" w:rsidRPr="00FE53CD">
        <w:rPr>
          <w:lang w:val="fr-ML"/>
        </w:rPr>
        <w:t>. </w:t>
      </w:r>
      <w:r w:rsidRPr="00FE53CD">
        <w:rPr>
          <w:lang w:val="fr-ML"/>
        </w:rPr>
        <w:t>H</w:t>
      </w:r>
      <w:r w:rsidRPr="00FE53CD">
        <w:rPr>
          <w:lang w:val="fr-FR"/>
        </w:rPr>
        <w:t xml:space="preserve">abou COULIBALY </w:t>
      </w:r>
      <w:r w:rsidR="001F055F" w:rsidRPr="00FE53CD">
        <w:rPr>
          <w:lang w:val="fr-FR"/>
        </w:rPr>
        <w:t>(</w:t>
      </w:r>
      <w:hyperlink r:id="rId11" w:history="1">
        <w:r w:rsidRPr="00FE53CD">
          <w:rPr>
            <w:rStyle w:val="Lienhypertexte"/>
            <w:lang w:val="fr-FR"/>
          </w:rPr>
          <w:t>hcoulibaly@edmsa.ml</w:t>
        </w:r>
      </w:hyperlink>
      <w:r w:rsidR="001F055F" w:rsidRPr="001F055F">
        <w:rPr>
          <w:lang w:val="fr-ML"/>
        </w:rPr>
        <w:t>).</w:t>
      </w:r>
    </w:p>
    <w:p w:rsidR="00DC04A4" w:rsidRPr="008779C2" w:rsidRDefault="00DC04A4" w:rsidP="00DC04A4">
      <w:pPr>
        <w:jc w:val="both"/>
        <w:rPr>
          <w:lang w:val="fr-ML"/>
        </w:rPr>
      </w:pPr>
    </w:p>
    <w:p w:rsidR="00DC04A4" w:rsidRDefault="00DC04A4" w:rsidP="00DC04A4">
      <w:pPr>
        <w:tabs>
          <w:tab w:val="left" w:pos="540"/>
        </w:tabs>
        <w:ind w:left="4248"/>
        <w:jc w:val="both"/>
        <w:rPr>
          <w:lang w:val="fr-ML"/>
        </w:rPr>
      </w:pPr>
    </w:p>
    <w:p w:rsidR="008A3953" w:rsidRDefault="008A3953" w:rsidP="00DC04A4">
      <w:pPr>
        <w:tabs>
          <w:tab w:val="left" w:pos="540"/>
        </w:tabs>
        <w:ind w:left="4248"/>
        <w:jc w:val="both"/>
        <w:rPr>
          <w:lang w:val="fr-ML"/>
        </w:rPr>
      </w:pPr>
    </w:p>
    <w:p w:rsidR="000A461A" w:rsidRPr="008779C2" w:rsidRDefault="000A461A" w:rsidP="00DC04A4">
      <w:pPr>
        <w:tabs>
          <w:tab w:val="left" w:pos="540"/>
        </w:tabs>
        <w:ind w:left="4248"/>
        <w:jc w:val="both"/>
        <w:rPr>
          <w:lang w:val="fr-ML"/>
        </w:rPr>
      </w:pPr>
    </w:p>
    <w:p w:rsidR="00DC04A4" w:rsidRPr="000A461A" w:rsidRDefault="00DC04A4" w:rsidP="00DC04A4">
      <w:pPr>
        <w:tabs>
          <w:tab w:val="left" w:pos="540"/>
        </w:tabs>
        <w:jc w:val="center"/>
        <w:rPr>
          <w:rFonts w:eastAsia="Calibri"/>
          <w:b/>
          <w:bCs/>
          <w:sz w:val="28"/>
          <w:szCs w:val="28"/>
          <w:lang w:val="fr-ML"/>
        </w:rPr>
      </w:pPr>
      <w:r w:rsidRPr="000A461A">
        <w:rPr>
          <w:rFonts w:eastAsia="Calibri"/>
          <w:b/>
          <w:bCs/>
          <w:sz w:val="28"/>
          <w:szCs w:val="28"/>
          <w:lang w:val="fr-ML"/>
        </w:rPr>
        <w:t>Le Directeur Général,</w:t>
      </w:r>
    </w:p>
    <w:p w:rsidR="00DC04A4" w:rsidRPr="000A461A" w:rsidRDefault="00DC04A4" w:rsidP="00DC04A4">
      <w:pPr>
        <w:tabs>
          <w:tab w:val="left" w:pos="540"/>
        </w:tabs>
        <w:ind w:left="4248"/>
        <w:jc w:val="center"/>
        <w:rPr>
          <w:b/>
          <w:bCs/>
          <w:sz w:val="28"/>
          <w:szCs w:val="28"/>
          <w:lang w:val="fr-ML"/>
        </w:rPr>
      </w:pPr>
    </w:p>
    <w:p w:rsidR="00DC04A4" w:rsidRPr="000A461A" w:rsidRDefault="00DC04A4" w:rsidP="00DC04A4">
      <w:pPr>
        <w:tabs>
          <w:tab w:val="left" w:pos="540"/>
        </w:tabs>
        <w:ind w:left="4248"/>
        <w:jc w:val="center"/>
        <w:rPr>
          <w:b/>
          <w:bCs/>
          <w:sz w:val="28"/>
          <w:szCs w:val="28"/>
          <w:lang w:val="fr-ML"/>
        </w:rPr>
      </w:pPr>
    </w:p>
    <w:p w:rsidR="00DC04A4" w:rsidRPr="000A461A" w:rsidRDefault="00DC04A4" w:rsidP="00DC04A4">
      <w:pPr>
        <w:tabs>
          <w:tab w:val="left" w:pos="540"/>
        </w:tabs>
        <w:ind w:left="4248"/>
        <w:jc w:val="center"/>
        <w:rPr>
          <w:b/>
          <w:bCs/>
          <w:sz w:val="28"/>
          <w:szCs w:val="28"/>
          <w:lang w:val="fr-ML"/>
        </w:rPr>
      </w:pPr>
    </w:p>
    <w:p w:rsidR="00D30EC9" w:rsidRPr="000A461A" w:rsidRDefault="00DC04A4" w:rsidP="003C66F3">
      <w:pPr>
        <w:pStyle w:val="Sansinterligne"/>
        <w:spacing w:before="120" w:after="120" w:line="360" w:lineRule="auto"/>
        <w:jc w:val="center"/>
        <w:rPr>
          <w:b/>
          <w:bCs/>
          <w:sz w:val="24"/>
          <w:szCs w:val="24"/>
          <w:highlight w:val="yellow"/>
        </w:rPr>
      </w:pPr>
      <w:r w:rsidRPr="000A461A">
        <w:rPr>
          <w:rFonts w:ascii="Times New Roman" w:hAnsi="Times New Roman"/>
          <w:b/>
          <w:bCs/>
          <w:sz w:val="28"/>
          <w:szCs w:val="28"/>
          <w:lang w:val="fr-ML"/>
        </w:rPr>
        <w:t>Boubacar KEITA</w:t>
      </w:r>
    </w:p>
    <w:sectPr w:rsidR="00D30EC9" w:rsidRPr="000A461A" w:rsidSect="000A461A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47" w:right="1417" w:bottom="1125" w:left="1417" w:header="496" w:footer="5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115" w:rsidRDefault="00AB6115" w:rsidP="005F5014">
      <w:r>
        <w:separator/>
      </w:r>
    </w:p>
  </w:endnote>
  <w:endnote w:type="continuationSeparator" w:id="0">
    <w:p w:rsidR="00AB6115" w:rsidRDefault="00AB6115" w:rsidP="005F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20649117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6149A" w:rsidRDefault="0096149A" w:rsidP="00F475B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96149A" w:rsidRDefault="0096149A" w:rsidP="009614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0384208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96149A" w:rsidRPr="00737B10" w:rsidRDefault="0096149A" w:rsidP="0096149A">
        <w:pPr>
          <w:pStyle w:val="Pieddepage"/>
          <w:framePr w:wrap="none" w:vAnchor="text" w:hAnchor="page" w:x="10865" w:y="178"/>
          <w:rPr>
            <w:rStyle w:val="Numrodepage"/>
            <w:lang w:val="fr-FR"/>
          </w:rPr>
        </w:pPr>
        <w:r>
          <w:rPr>
            <w:rStyle w:val="Numrodepage"/>
          </w:rPr>
          <w:fldChar w:fldCharType="begin"/>
        </w:r>
        <w:r w:rsidRPr="00737B10">
          <w:rPr>
            <w:rStyle w:val="Numrodepage"/>
            <w:lang w:val="fr-FR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70DDC">
          <w:rPr>
            <w:rStyle w:val="Numrodepage"/>
            <w:noProof/>
            <w:lang w:val="fr-FR"/>
          </w:rPr>
          <w:t>2</w:t>
        </w:r>
        <w:r>
          <w:rPr>
            <w:rStyle w:val="Numrodepage"/>
          </w:rPr>
          <w:fldChar w:fldCharType="end"/>
        </w:r>
      </w:p>
    </w:sdtContent>
  </w:sdt>
  <w:p w:rsidR="00463F2A" w:rsidRPr="0096149A" w:rsidRDefault="0067740B" w:rsidP="0096149A">
    <w:pPr>
      <w:pStyle w:val="Pieddepage"/>
      <w:pBdr>
        <w:top w:val="single" w:sz="12" w:space="1" w:color="auto"/>
      </w:pBdr>
      <w:ind w:right="-567"/>
      <w:rPr>
        <w:sz w:val="16"/>
        <w:szCs w:val="16"/>
        <w:lang w:val="fr-FR"/>
      </w:rPr>
    </w:pPr>
    <w:r w:rsidRPr="0067740B">
      <w:rPr>
        <w:color w:val="0432FF"/>
        <w:sz w:val="16"/>
        <w:szCs w:val="16"/>
        <w:lang w:val="fr-FR"/>
      </w:rPr>
      <w:t>AMI N°20 – 003 / DEPS / EDM SA</w:t>
    </w:r>
    <w:r w:rsidR="0096149A">
      <w:rPr>
        <w:sz w:val="16"/>
        <w:szCs w:val="16"/>
        <w:lang w:val="fr-FR"/>
      </w:rPr>
      <w:br/>
    </w:r>
    <w:r w:rsidR="0096149A" w:rsidRPr="0096149A">
      <w:rPr>
        <w:sz w:val="16"/>
        <w:szCs w:val="16"/>
        <w:lang w:val="fr-FR"/>
      </w:rPr>
      <w:t>Service de consultant pour la r</w:t>
    </w:r>
    <w:r w:rsidR="0096149A">
      <w:rPr>
        <w:sz w:val="16"/>
        <w:szCs w:val="16"/>
        <w:lang w:val="fr-FR"/>
      </w:rPr>
      <w:t>é</w:t>
    </w:r>
    <w:r w:rsidR="0096149A" w:rsidRPr="0096149A">
      <w:rPr>
        <w:sz w:val="16"/>
        <w:szCs w:val="16"/>
        <w:lang w:val="fr-FR"/>
      </w:rPr>
      <w:t xml:space="preserve">alisation des </w:t>
    </w:r>
    <w:r w:rsidR="0096149A">
      <w:rPr>
        <w:sz w:val="16"/>
        <w:szCs w:val="16"/>
        <w:lang w:val="fr-FR"/>
      </w:rPr>
      <w:t>é</w:t>
    </w:r>
    <w:r w:rsidR="0096149A" w:rsidRPr="0096149A">
      <w:rPr>
        <w:sz w:val="16"/>
        <w:szCs w:val="16"/>
        <w:lang w:val="fr-FR"/>
      </w:rPr>
      <w:t xml:space="preserve">tudes </w:t>
    </w:r>
    <w:r w:rsidR="0096149A">
      <w:rPr>
        <w:sz w:val="16"/>
        <w:szCs w:val="16"/>
        <w:lang w:val="fr-FR"/>
      </w:rPr>
      <w:br/>
    </w:r>
    <w:r w:rsidR="0096149A" w:rsidRPr="0096149A">
      <w:rPr>
        <w:sz w:val="16"/>
        <w:szCs w:val="16"/>
        <w:lang w:val="fr-FR"/>
      </w:rPr>
      <w:t xml:space="preserve">des centrales solaires photovoltaïques de </w:t>
    </w:r>
    <w:r w:rsidR="0096149A">
      <w:rPr>
        <w:sz w:val="16"/>
        <w:szCs w:val="16"/>
        <w:lang w:val="fr-FR"/>
      </w:rPr>
      <w:t>K</w:t>
    </w:r>
    <w:r w:rsidR="0096149A" w:rsidRPr="0096149A">
      <w:rPr>
        <w:sz w:val="16"/>
        <w:szCs w:val="16"/>
        <w:lang w:val="fr-FR"/>
      </w:rPr>
      <w:t xml:space="preserve">ambila et </w:t>
    </w:r>
    <w:r w:rsidR="0096149A">
      <w:rPr>
        <w:sz w:val="16"/>
        <w:szCs w:val="16"/>
        <w:lang w:val="fr-FR"/>
      </w:rPr>
      <w:t>S</w:t>
    </w:r>
    <w:r w:rsidR="0096149A" w:rsidRPr="0096149A">
      <w:rPr>
        <w:sz w:val="16"/>
        <w:szCs w:val="16"/>
        <w:lang w:val="fr-FR"/>
      </w:rPr>
      <w:t>afo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89230210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0A461A" w:rsidRPr="000A461A" w:rsidRDefault="000A461A" w:rsidP="000A461A">
        <w:pPr>
          <w:pStyle w:val="Pieddepage"/>
          <w:framePr w:wrap="none" w:vAnchor="text" w:hAnchor="page" w:x="10871" w:y="101"/>
          <w:rPr>
            <w:rStyle w:val="Numrodepage"/>
            <w:lang w:val="fr-FR"/>
          </w:rPr>
        </w:pPr>
        <w:r>
          <w:rPr>
            <w:rStyle w:val="Numrodepage"/>
          </w:rPr>
          <w:fldChar w:fldCharType="begin"/>
        </w:r>
        <w:r w:rsidRPr="000A461A">
          <w:rPr>
            <w:rStyle w:val="Numrodepage"/>
            <w:lang w:val="fr-FR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070DDC">
          <w:rPr>
            <w:rStyle w:val="Numrodepage"/>
            <w:noProof/>
            <w:lang w:val="fr-FR"/>
          </w:rPr>
          <w:t>1</w:t>
        </w:r>
        <w:r>
          <w:rPr>
            <w:rStyle w:val="Numrodepage"/>
          </w:rPr>
          <w:fldChar w:fldCharType="end"/>
        </w:r>
      </w:p>
    </w:sdtContent>
  </w:sdt>
  <w:p w:rsidR="000A461A" w:rsidRPr="000A461A" w:rsidRDefault="000A461A" w:rsidP="000A461A">
    <w:pPr>
      <w:pStyle w:val="Pieddepage"/>
      <w:pBdr>
        <w:top w:val="single" w:sz="12" w:space="1" w:color="auto"/>
      </w:pBdr>
      <w:ind w:right="-567"/>
      <w:rPr>
        <w:sz w:val="16"/>
        <w:szCs w:val="16"/>
        <w:lang w:val="fr-FR"/>
      </w:rPr>
    </w:pPr>
    <w:r w:rsidRPr="0067740B">
      <w:rPr>
        <w:color w:val="0432FF"/>
        <w:sz w:val="16"/>
        <w:szCs w:val="16"/>
        <w:lang w:val="fr-FR"/>
      </w:rPr>
      <w:t>AMI N°20 – 003 / DEPS / EDM SA</w:t>
    </w:r>
    <w:r>
      <w:rPr>
        <w:sz w:val="16"/>
        <w:szCs w:val="16"/>
        <w:lang w:val="fr-FR"/>
      </w:rPr>
      <w:br/>
    </w:r>
    <w:r w:rsidRPr="0096149A">
      <w:rPr>
        <w:sz w:val="16"/>
        <w:szCs w:val="16"/>
        <w:lang w:val="fr-FR"/>
      </w:rPr>
      <w:t>Service de consultant pour la r</w:t>
    </w:r>
    <w:r>
      <w:rPr>
        <w:sz w:val="16"/>
        <w:szCs w:val="16"/>
        <w:lang w:val="fr-FR"/>
      </w:rPr>
      <w:t>é</w:t>
    </w:r>
    <w:r w:rsidRPr="0096149A">
      <w:rPr>
        <w:sz w:val="16"/>
        <w:szCs w:val="16"/>
        <w:lang w:val="fr-FR"/>
      </w:rPr>
      <w:t xml:space="preserve">alisation des </w:t>
    </w:r>
    <w:r>
      <w:rPr>
        <w:sz w:val="16"/>
        <w:szCs w:val="16"/>
        <w:lang w:val="fr-FR"/>
      </w:rPr>
      <w:t>é</w:t>
    </w:r>
    <w:r w:rsidRPr="0096149A">
      <w:rPr>
        <w:sz w:val="16"/>
        <w:szCs w:val="16"/>
        <w:lang w:val="fr-FR"/>
      </w:rPr>
      <w:t xml:space="preserve">tudes </w:t>
    </w:r>
    <w:r>
      <w:rPr>
        <w:sz w:val="16"/>
        <w:szCs w:val="16"/>
        <w:lang w:val="fr-FR"/>
      </w:rPr>
      <w:br/>
    </w:r>
    <w:r w:rsidRPr="0096149A">
      <w:rPr>
        <w:sz w:val="16"/>
        <w:szCs w:val="16"/>
        <w:lang w:val="fr-FR"/>
      </w:rPr>
      <w:t xml:space="preserve">des centrales solaires photovoltaïques de </w:t>
    </w:r>
    <w:r>
      <w:rPr>
        <w:sz w:val="16"/>
        <w:szCs w:val="16"/>
        <w:lang w:val="fr-FR"/>
      </w:rPr>
      <w:t>K</w:t>
    </w:r>
    <w:r w:rsidRPr="0096149A">
      <w:rPr>
        <w:sz w:val="16"/>
        <w:szCs w:val="16"/>
        <w:lang w:val="fr-FR"/>
      </w:rPr>
      <w:t xml:space="preserve">ambila et </w:t>
    </w:r>
    <w:r>
      <w:rPr>
        <w:sz w:val="16"/>
        <w:szCs w:val="16"/>
        <w:lang w:val="fr-FR"/>
      </w:rPr>
      <w:t>S</w:t>
    </w:r>
    <w:r w:rsidRPr="0096149A">
      <w:rPr>
        <w:sz w:val="16"/>
        <w:szCs w:val="16"/>
        <w:lang w:val="fr-FR"/>
      </w:rPr>
      <w:t>afo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115" w:rsidRDefault="00AB6115" w:rsidP="005F5014">
      <w:r>
        <w:separator/>
      </w:r>
    </w:p>
  </w:footnote>
  <w:footnote w:type="continuationSeparator" w:id="0">
    <w:p w:rsidR="00AB6115" w:rsidRDefault="00AB6115" w:rsidP="005F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F2A" w:rsidRDefault="007520F7">
    <w:pPr>
      <w:pStyle w:val="En-tte"/>
    </w:pPr>
    <w:r w:rsidRPr="007520F7">
      <w:rPr>
        <w:rFonts w:ascii="Calibri" w:eastAsia="Calibri" w:hAnsi="Calibri"/>
        <w:noProof/>
        <w:sz w:val="22"/>
        <w:szCs w:val="22"/>
        <w:lang w:val="fr-FR"/>
      </w:rPr>
      <w:object w:dxaOrig="9027" w:dyaOrig="1065" w14:anchorId="284A81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1.5pt;height:54.75pt;mso-width-percent:0;mso-height-percent:0;mso-width-percent:0;mso-height-percent:0" fillcolor="window">
          <v:imagedata r:id="rId1" o:title=""/>
        </v:shape>
        <o:OLEObject Type="Embed" ProgID="Word.Picture.8" ShapeID="_x0000_i1025" DrawAspect="Content" ObjectID="_164794930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98B"/>
    <w:multiLevelType w:val="hybridMultilevel"/>
    <w:tmpl w:val="9488C2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48B9"/>
    <w:multiLevelType w:val="hybridMultilevel"/>
    <w:tmpl w:val="4F829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6A1A"/>
    <w:multiLevelType w:val="hybridMultilevel"/>
    <w:tmpl w:val="77C4FF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E3489"/>
    <w:multiLevelType w:val="hybridMultilevel"/>
    <w:tmpl w:val="6BE25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615D"/>
    <w:multiLevelType w:val="hybridMultilevel"/>
    <w:tmpl w:val="D7F46E44"/>
    <w:lvl w:ilvl="0" w:tplc="8938C9C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  <w:szCs w:val="24"/>
        <w:lang w:val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453E"/>
    <w:multiLevelType w:val="hybridMultilevel"/>
    <w:tmpl w:val="38CA2A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C104134"/>
    <w:multiLevelType w:val="hybridMultilevel"/>
    <w:tmpl w:val="3B3E09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6A16"/>
    <w:multiLevelType w:val="hybridMultilevel"/>
    <w:tmpl w:val="58BEC7BC"/>
    <w:lvl w:ilvl="0" w:tplc="035AFE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4913"/>
    <w:multiLevelType w:val="hybridMultilevel"/>
    <w:tmpl w:val="88D85508"/>
    <w:lvl w:ilvl="0" w:tplc="5D7838E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09FA"/>
    <w:multiLevelType w:val="hybridMultilevel"/>
    <w:tmpl w:val="D6CC00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33181"/>
    <w:multiLevelType w:val="hybridMultilevel"/>
    <w:tmpl w:val="D87A74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262BB"/>
    <w:multiLevelType w:val="hybridMultilevel"/>
    <w:tmpl w:val="EE0C09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E2E93"/>
    <w:multiLevelType w:val="hybridMultilevel"/>
    <w:tmpl w:val="1688D11C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03B07A3"/>
    <w:multiLevelType w:val="hybridMultilevel"/>
    <w:tmpl w:val="6CD8083A"/>
    <w:lvl w:ilvl="0" w:tplc="63F06A64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85C89"/>
    <w:multiLevelType w:val="hybridMultilevel"/>
    <w:tmpl w:val="8EBA173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9F75C3"/>
    <w:multiLevelType w:val="hybridMultilevel"/>
    <w:tmpl w:val="24ECDDF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366089"/>
    <w:multiLevelType w:val="hybridMultilevel"/>
    <w:tmpl w:val="68B8B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075DB"/>
    <w:multiLevelType w:val="hybridMultilevel"/>
    <w:tmpl w:val="005E66A8"/>
    <w:lvl w:ilvl="0" w:tplc="B9AA3B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7"/>
  </w:num>
  <w:num w:numId="5">
    <w:abstractNumId w:val="8"/>
  </w:num>
  <w:num w:numId="6">
    <w:abstractNumId w:val="9"/>
  </w:num>
  <w:num w:numId="7">
    <w:abstractNumId w:val="15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1"/>
  </w:num>
  <w:num w:numId="15">
    <w:abstractNumId w:val="16"/>
  </w:num>
  <w:num w:numId="16">
    <w:abstractNumId w:val="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C9"/>
    <w:rsid w:val="00007291"/>
    <w:rsid w:val="000173B6"/>
    <w:rsid w:val="00024632"/>
    <w:rsid w:val="00026D79"/>
    <w:rsid w:val="00033016"/>
    <w:rsid w:val="000378C4"/>
    <w:rsid w:val="0004092D"/>
    <w:rsid w:val="000611AC"/>
    <w:rsid w:val="00066E6B"/>
    <w:rsid w:val="00070DDC"/>
    <w:rsid w:val="00085B66"/>
    <w:rsid w:val="00097B07"/>
    <w:rsid w:val="000A461A"/>
    <w:rsid w:val="000B282A"/>
    <w:rsid w:val="000C13D0"/>
    <w:rsid w:val="000C21F5"/>
    <w:rsid w:val="000E1563"/>
    <w:rsid w:val="000E6256"/>
    <w:rsid w:val="0010217A"/>
    <w:rsid w:val="001257E4"/>
    <w:rsid w:val="001368B6"/>
    <w:rsid w:val="00144B93"/>
    <w:rsid w:val="00144C6A"/>
    <w:rsid w:val="00165379"/>
    <w:rsid w:val="00165709"/>
    <w:rsid w:val="001D1C2A"/>
    <w:rsid w:val="001E7EDF"/>
    <w:rsid w:val="001F055F"/>
    <w:rsid w:val="0020503F"/>
    <w:rsid w:val="00206087"/>
    <w:rsid w:val="002211D3"/>
    <w:rsid w:val="00230580"/>
    <w:rsid w:val="00233C5E"/>
    <w:rsid w:val="002377D9"/>
    <w:rsid w:val="002568A8"/>
    <w:rsid w:val="002938A5"/>
    <w:rsid w:val="002955A4"/>
    <w:rsid w:val="002A1B1E"/>
    <w:rsid w:val="002B23B2"/>
    <w:rsid w:val="002E0E31"/>
    <w:rsid w:val="002E43F6"/>
    <w:rsid w:val="002F5D4C"/>
    <w:rsid w:val="0030039B"/>
    <w:rsid w:val="003130DA"/>
    <w:rsid w:val="003234F6"/>
    <w:rsid w:val="00330EF3"/>
    <w:rsid w:val="003904E6"/>
    <w:rsid w:val="00397229"/>
    <w:rsid w:val="003A29BE"/>
    <w:rsid w:val="003B12D2"/>
    <w:rsid w:val="003B2457"/>
    <w:rsid w:val="003B6F10"/>
    <w:rsid w:val="003C66F3"/>
    <w:rsid w:val="003F49D2"/>
    <w:rsid w:val="00427123"/>
    <w:rsid w:val="004362A1"/>
    <w:rsid w:val="00436713"/>
    <w:rsid w:val="00455EB7"/>
    <w:rsid w:val="00463F2A"/>
    <w:rsid w:val="004C4544"/>
    <w:rsid w:val="004C4B08"/>
    <w:rsid w:val="004D560C"/>
    <w:rsid w:val="004E0159"/>
    <w:rsid w:val="004F0C74"/>
    <w:rsid w:val="005058D5"/>
    <w:rsid w:val="005203A9"/>
    <w:rsid w:val="00523F6E"/>
    <w:rsid w:val="005270ED"/>
    <w:rsid w:val="00532652"/>
    <w:rsid w:val="00537463"/>
    <w:rsid w:val="00537838"/>
    <w:rsid w:val="005623D5"/>
    <w:rsid w:val="0057310F"/>
    <w:rsid w:val="005E2BF9"/>
    <w:rsid w:val="005F5014"/>
    <w:rsid w:val="006038BB"/>
    <w:rsid w:val="006039B1"/>
    <w:rsid w:val="00607614"/>
    <w:rsid w:val="00621D55"/>
    <w:rsid w:val="00666ADF"/>
    <w:rsid w:val="006733A5"/>
    <w:rsid w:val="0067740B"/>
    <w:rsid w:val="00693EF2"/>
    <w:rsid w:val="00695CA7"/>
    <w:rsid w:val="00696132"/>
    <w:rsid w:val="006A7930"/>
    <w:rsid w:val="006B6B33"/>
    <w:rsid w:val="006F024C"/>
    <w:rsid w:val="006F63B5"/>
    <w:rsid w:val="00715A99"/>
    <w:rsid w:val="00715B51"/>
    <w:rsid w:val="007230E7"/>
    <w:rsid w:val="00724001"/>
    <w:rsid w:val="00737B10"/>
    <w:rsid w:val="007520F7"/>
    <w:rsid w:val="00753A62"/>
    <w:rsid w:val="007A54B7"/>
    <w:rsid w:val="007F0D3A"/>
    <w:rsid w:val="007F6010"/>
    <w:rsid w:val="00847B47"/>
    <w:rsid w:val="00852B66"/>
    <w:rsid w:val="008778F8"/>
    <w:rsid w:val="0089176E"/>
    <w:rsid w:val="00892AC4"/>
    <w:rsid w:val="008A3953"/>
    <w:rsid w:val="008A63F5"/>
    <w:rsid w:val="008B1923"/>
    <w:rsid w:val="008B453F"/>
    <w:rsid w:val="008E4365"/>
    <w:rsid w:val="008F1493"/>
    <w:rsid w:val="00921FB0"/>
    <w:rsid w:val="00925508"/>
    <w:rsid w:val="00935C15"/>
    <w:rsid w:val="0096149A"/>
    <w:rsid w:val="00964BB4"/>
    <w:rsid w:val="009B0075"/>
    <w:rsid w:val="009B698A"/>
    <w:rsid w:val="009B7E52"/>
    <w:rsid w:val="009C3B5E"/>
    <w:rsid w:val="009C642D"/>
    <w:rsid w:val="009F0D2E"/>
    <w:rsid w:val="00A10248"/>
    <w:rsid w:val="00A45A69"/>
    <w:rsid w:val="00A547B9"/>
    <w:rsid w:val="00A6526D"/>
    <w:rsid w:val="00A652EC"/>
    <w:rsid w:val="00A800D1"/>
    <w:rsid w:val="00A84B92"/>
    <w:rsid w:val="00A9795C"/>
    <w:rsid w:val="00AA1992"/>
    <w:rsid w:val="00AB6115"/>
    <w:rsid w:val="00AC4C9E"/>
    <w:rsid w:val="00AC73A8"/>
    <w:rsid w:val="00AD3B17"/>
    <w:rsid w:val="00B02387"/>
    <w:rsid w:val="00B07480"/>
    <w:rsid w:val="00B15B28"/>
    <w:rsid w:val="00B16293"/>
    <w:rsid w:val="00B56E69"/>
    <w:rsid w:val="00B906D0"/>
    <w:rsid w:val="00B93D7A"/>
    <w:rsid w:val="00B94883"/>
    <w:rsid w:val="00B95186"/>
    <w:rsid w:val="00BB4D9C"/>
    <w:rsid w:val="00BC255F"/>
    <w:rsid w:val="00BD2ED6"/>
    <w:rsid w:val="00C66B25"/>
    <w:rsid w:val="00C90926"/>
    <w:rsid w:val="00CA2ACD"/>
    <w:rsid w:val="00CA3A2D"/>
    <w:rsid w:val="00CB71DB"/>
    <w:rsid w:val="00D21CC1"/>
    <w:rsid w:val="00D30EC9"/>
    <w:rsid w:val="00D45033"/>
    <w:rsid w:val="00D466F5"/>
    <w:rsid w:val="00D67C19"/>
    <w:rsid w:val="00D74D3F"/>
    <w:rsid w:val="00D84A45"/>
    <w:rsid w:val="00D90206"/>
    <w:rsid w:val="00DB583A"/>
    <w:rsid w:val="00DC04A4"/>
    <w:rsid w:val="00DC7C98"/>
    <w:rsid w:val="00DD4FCE"/>
    <w:rsid w:val="00DD75E8"/>
    <w:rsid w:val="00DD7F3E"/>
    <w:rsid w:val="00E167EE"/>
    <w:rsid w:val="00E27ABB"/>
    <w:rsid w:val="00E5420B"/>
    <w:rsid w:val="00E5650E"/>
    <w:rsid w:val="00E57698"/>
    <w:rsid w:val="00E92B64"/>
    <w:rsid w:val="00EA0B7A"/>
    <w:rsid w:val="00ED54B0"/>
    <w:rsid w:val="00EF3648"/>
    <w:rsid w:val="00EF4CA0"/>
    <w:rsid w:val="00EF649F"/>
    <w:rsid w:val="00F03C47"/>
    <w:rsid w:val="00F04660"/>
    <w:rsid w:val="00F06509"/>
    <w:rsid w:val="00F60200"/>
    <w:rsid w:val="00F70944"/>
    <w:rsid w:val="00F818A6"/>
    <w:rsid w:val="00F900C2"/>
    <w:rsid w:val="00FC736E"/>
    <w:rsid w:val="00FD45D5"/>
    <w:rsid w:val="00FD77E9"/>
    <w:rsid w:val="00FE53CD"/>
    <w:rsid w:val="00FF05BF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6EE81D-75C2-40C9-9E88-DA9264C2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D30EC9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reCar">
    <w:name w:val="Titre Car"/>
    <w:basedOn w:val="Policepardfaut"/>
    <w:link w:val="Titre"/>
    <w:rsid w:val="00D30EC9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Sansinterligne">
    <w:name w:val="No Spacing"/>
    <w:link w:val="SansinterligneCar"/>
    <w:uiPriority w:val="1"/>
    <w:qFormat/>
    <w:rsid w:val="00D30E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D30EC9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D30EC9"/>
    <w:rPr>
      <w:rFonts w:cs="Times New Roman"/>
      <w:color w:val="0000FF"/>
      <w:u w:val="single"/>
    </w:rPr>
  </w:style>
  <w:style w:type="paragraph" w:styleId="Paragraphedeliste">
    <w:name w:val="List Paragraph"/>
    <w:aliases w:val="Premier,References,Bullets,ReferencesCxSpLast,Paragraphe de liste1,Paragraphe  revu,List Paragraph (numbered (a)),Lapis Bulleted List,Liste 1,List Paragraph nowy,Numbered List Paragraph,List Bullet Mary,List Paragraph1,Bullet Answer"/>
    <w:basedOn w:val="Normal"/>
    <w:link w:val="ParagraphedelisteCar"/>
    <w:uiPriority w:val="99"/>
    <w:qFormat/>
    <w:rsid w:val="00D30EC9"/>
    <w:pPr>
      <w:ind w:left="720"/>
      <w:contextualSpacing/>
    </w:pPr>
  </w:style>
  <w:style w:type="character" w:customStyle="1" w:styleId="ParagraphedelisteCar">
    <w:name w:val="Paragraphe de liste Car"/>
    <w:aliases w:val="Premier Car,References Car,Bullets Car,ReferencesCxSpLast Car,Paragraphe de liste1 Car,Paragraphe  revu Car,List Paragraph (numbered (a)) Car,Lapis Bulleted List Car,Liste 1 Car,List Paragraph nowy Car,Numbered List Paragraph Car"/>
    <w:link w:val="Paragraphedeliste"/>
    <w:uiPriority w:val="34"/>
    <w:qFormat/>
    <w:rsid w:val="00D30E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EC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EC9"/>
    <w:rPr>
      <w:rFonts w:ascii="Segoe UI" w:eastAsia="Times New Roman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F50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50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F50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501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038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038BB"/>
    <w:pPr>
      <w:spacing w:after="200"/>
    </w:pPr>
    <w:rPr>
      <w:rFonts w:asciiTheme="minorHAnsi" w:eastAsiaTheme="minorHAnsi" w:hAnsiTheme="minorHAnsi" w:cstheme="minorBidi"/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038B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6E69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6E6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715A9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E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203A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203A9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961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d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coulibaly@edmsa.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fodiarra@edmsa.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diallo@edmsa.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245DF-7548-43CE-ACA5-EBD4570C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Habou COULIBALY</dc:creator>
  <cp:keywords/>
  <dc:description/>
  <cp:lastModifiedBy>Boubacar F. DIALLO</cp:lastModifiedBy>
  <cp:revision>2</cp:revision>
  <cp:lastPrinted>2020-04-09T12:31:00Z</cp:lastPrinted>
  <dcterms:created xsi:type="dcterms:W3CDTF">2020-04-09T14:55:00Z</dcterms:created>
  <dcterms:modified xsi:type="dcterms:W3CDTF">2020-04-09T14:55:00Z</dcterms:modified>
</cp:coreProperties>
</file>